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C5657" w14:textId="77777777" w:rsidR="007054B8" w:rsidRDefault="007054B8" w:rsidP="006D54BA">
      <w:pPr>
        <w:spacing w:after="0" w:line="240" w:lineRule="auto"/>
        <w:ind w:left="360"/>
        <w:jc w:val="center"/>
        <w:rPr>
          <w:b/>
          <w:bCs/>
          <w:sz w:val="28"/>
          <w:szCs w:val="28"/>
        </w:rPr>
      </w:pPr>
    </w:p>
    <w:p w14:paraId="711C5F3B" w14:textId="12536B69" w:rsidR="00E150F7" w:rsidRPr="00FB50E8" w:rsidRDefault="006D54BA" w:rsidP="006D54BA">
      <w:pPr>
        <w:spacing w:after="0" w:line="240" w:lineRule="auto"/>
        <w:ind w:left="360"/>
        <w:jc w:val="center"/>
        <w:rPr>
          <w:b/>
          <w:bCs/>
          <w:sz w:val="28"/>
          <w:szCs w:val="28"/>
        </w:rPr>
      </w:pPr>
      <w:r w:rsidRPr="00FB50E8">
        <w:rPr>
          <w:b/>
          <w:bCs/>
          <w:sz w:val="28"/>
          <w:szCs w:val="28"/>
        </w:rPr>
        <w:t>HERITAGE TRUST NORTH WEST</w:t>
      </w:r>
    </w:p>
    <w:p w14:paraId="58312867" w14:textId="77777777" w:rsidR="00642116" w:rsidRDefault="006D54BA" w:rsidP="006D54BA">
      <w:pPr>
        <w:spacing w:after="0" w:line="240" w:lineRule="auto"/>
        <w:ind w:left="360"/>
        <w:jc w:val="center"/>
        <w:rPr>
          <w:b/>
          <w:bCs/>
          <w:sz w:val="28"/>
          <w:szCs w:val="28"/>
        </w:rPr>
      </w:pPr>
      <w:r w:rsidRPr="00FB50E8">
        <w:rPr>
          <w:b/>
          <w:bCs/>
          <w:sz w:val="28"/>
          <w:szCs w:val="28"/>
        </w:rPr>
        <w:t xml:space="preserve">TRUSTEE TERMS OF REFERENCE </w:t>
      </w:r>
    </w:p>
    <w:p w14:paraId="51F1C49D" w14:textId="78C27C8D" w:rsidR="00B85922" w:rsidRPr="00FB50E8" w:rsidRDefault="006D54BA" w:rsidP="006D54BA">
      <w:pPr>
        <w:spacing w:after="0" w:line="240" w:lineRule="auto"/>
        <w:ind w:left="360"/>
        <w:jc w:val="center"/>
        <w:rPr>
          <w:b/>
          <w:bCs/>
          <w:sz w:val="28"/>
          <w:szCs w:val="28"/>
        </w:rPr>
      </w:pPr>
      <w:r w:rsidRPr="00FB50E8">
        <w:rPr>
          <w:b/>
          <w:bCs/>
          <w:sz w:val="28"/>
          <w:szCs w:val="28"/>
        </w:rPr>
        <w:t>AND CODE OF CONDUCT</w:t>
      </w:r>
    </w:p>
    <w:p w14:paraId="66469883" w14:textId="77777777" w:rsidR="0039510E" w:rsidRPr="006D54BA" w:rsidRDefault="0039510E" w:rsidP="006D54BA">
      <w:pPr>
        <w:spacing w:after="0" w:line="240" w:lineRule="auto"/>
        <w:ind w:left="360"/>
        <w:jc w:val="center"/>
        <w:rPr>
          <w:b/>
          <w:bCs/>
          <w:sz w:val="32"/>
          <w:szCs w:val="32"/>
        </w:rPr>
      </w:pPr>
    </w:p>
    <w:p w14:paraId="12B0C687" w14:textId="77777777" w:rsidR="006D54BA" w:rsidRPr="002B4B5B" w:rsidRDefault="006D54BA" w:rsidP="006D54BA">
      <w:pPr>
        <w:pStyle w:val="ListParagraph"/>
        <w:numPr>
          <w:ilvl w:val="0"/>
          <w:numId w:val="10"/>
        </w:numPr>
        <w:spacing w:after="0" w:line="240" w:lineRule="auto"/>
        <w:contextualSpacing w:val="0"/>
        <w:rPr>
          <w:b/>
          <w:bCs/>
          <w:sz w:val="28"/>
          <w:szCs w:val="28"/>
        </w:rPr>
      </w:pPr>
      <w:r>
        <w:rPr>
          <w:b/>
          <w:bCs/>
          <w:sz w:val="28"/>
          <w:szCs w:val="28"/>
        </w:rPr>
        <w:t>A</w:t>
      </w:r>
      <w:r w:rsidRPr="002B4B5B">
        <w:rPr>
          <w:b/>
          <w:bCs/>
          <w:sz w:val="28"/>
          <w:szCs w:val="28"/>
        </w:rPr>
        <w:t xml:space="preserve">bout the organisation   </w:t>
      </w:r>
    </w:p>
    <w:p w14:paraId="63103879" w14:textId="77777777" w:rsidR="00FB50E8" w:rsidRDefault="00FB50E8" w:rsidP="00C547E2">
      <w:pPr>
        <w:spacing w:after="0"/>
      </w:pPr>
    </w:p>
    <w:p w14:paraId="460AE1F5" w14:textId="547D3968" w:rsidR="006D54BA" w:rsidRDefault="006D54BA" w:rsidP="006D54BA">
      <w:r>
        <w:t xml:space="preserve">Heritage Trust for the North West is a building preservation trust, founded originally in 1978 under a different name, with a long track record of saving important buildings across the North West of England. Over the years we have owned and managed many properties. Currently our portfolio includes approximately 25 buildings spread across twelve sites. </w:t>
      </w:r>
    </w:p>
    <w:p w14:paraId="3DA64419" w14:textId="77777777" w:rsidR="006D54BA" w:rsidRDefault="006D54BA" w:rsidP="008A3E47">
      <w:pPr>
        <w:jc w:val="center"/>
      </w:pPr>
      <w:r w:rsidRPr="005B3B76">
        <w:rPr>
          <w:noProof/>
        </w:rPr>
        <w:drawing>
          <wp:inline distT="0" distB="0" distL="0" distR="0" wp14:anchorId="0E62A56A" wp14:editId="1260A6DB">
            <wp:extent cx="5718762" cy="4170045"/>
            <wp:effectExtent l="0" t="0" r="0" b="1905"/>
            <wp:docPr id="2105117696"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117696" name="Picture 1" descr="A map of a city&#10;&#10;AI-generated content may be incorrect."/>
                    <pic:cNvPicPr/>
                  </pic:nvPicPr>
                  <pic:blipFill>
                    <a:blip r:embed="rId10"/>
                    <a:stretch>
                      <a:fillRect/>
                    </a:stretch>
                  </pic:blipFill>
                  <pic:spPr>
                    <a:xfrm>
                      <a:off x="0" y="0"/>
                      <a:ext cx="5737751" cy="4183891"/>
                    </a:xfrm>
                    <a:prstGeom prst="rect">
                      <a:avLst/>
                    </a:prstGeom>
                  </pic:spPr>
                </pic:pic>
              </a:graphicData>
            </a:graphic>
          </wp:inline>
        </w:drawing>
      </w:r>
    </w:p>
    <w:p w14:paraId="495EB8BA" w14:textId="55FB3B65" w:rsidR="006D54BA" w:rsidRDefault="006D54BA" w:rsidP="006D54BA">
      <w:r>
        <w:t xml:space="preserve">We are a registered charity and company limited by guarantee. The </w:t>
      </w:r>
      <w:r w:rsidR="00710C62">
        <w:t>c</w:t>
      </w:r>
      <w:r>
        <w:t xml:space="preserve">haritable </w:t>
      </w:r>
      <w:r w:rsidR="00710C62">
        <w:t>p</w:t>
      </w:r>
      <w:r>
        <w:t xml:space="preserve">urpose of Heritage Trust for the North West is: </w:t>
      </w:r>
    </w:p>
    <w:p w14:paraId="51E1936E" w14:textId="77777777" w:rsidR="006D54BA" w:rsidRPr="002561A4" w:rsidRDefault="006D54BA" w:rsidP="006D54BA">
      <w:pPr>
        <w:rPr>
          <w:i/>
          <w:iCs/>
        </w:rPr>
      </w:pPr>
      <w:r w:rsidRPr="002561A4">
        <w:rPr>
          <w:i/>
          <w:iCs/>
        </w:rPr>
        <w:t xml:space="preserve">“to promote and preserve for the benefit of the people of the North West of England and of the nation at large, whatever of the English historical, architectural, natural, social or scientific heritage which may exist in or near to the aforesaid region, and to advance the education and </w:t>
      </w:r>
      <w:r w:rsidRPr="002561A4">
        <w:rPr>
          <w:i/>
          <w:iCs/>
        </w:rPr>
        <w:lastRenderedPageBreak/>
        <w:t>the cultural development of the public in these matters, and to undertake such other charitable activities as may benefit the inhabitants of or visitors to the area.”</w:t>
      </w:r>
    </w:p>
    <w:p w14:paraId="540E685D" w14:textId="77777777" w:rsidR="006D54BA" w:rsidRDefault="006D54BA" w:rsidP="006D54BA">
      <w:r>
        <w:t>Our focus is as much on the people using the heritage buildings as the properties themselves. The quality and composition of our heritage projects start from the earlier stages of archaeology, conservation architecture, investigative work, sympathetic building conservation and restoration work. We co-create with communities to establish how our buildings can be run sustainably in the future.</w:t>
      </w:r>
    </w:p>
    <w:p w14:paraId="5A8B66D3" w14:textId="77777777" w:rsidR="00642116" w:rsidRDefault="00642116" w:rsidP="00C547E2">
      <w:pPr>
        <w:spacing w:after="0"/>
      </w:pPr>
    </w:p>
    <w:p w14:paraId="16F0FD12" w14:textId="77777777" w:rsidR="006D54BA" w:rsidRPr="00B90E63" w:rsidRDefault="006D54BA" w:rsidP="006D54BA">
      <w:pPr>
        <w:pStyle w:val="ListParagraph"/>
        <w:numPr>
          <w:ilvl w:val="0"/>
          <w:numId w:val="10"/>
        </w:numPr>
        <w:spacing w:after="0" w:line="240" w:lineRule="auto"/>
        <w:contextualSpacing w:val="0"/>
        <w:rPr>
          <w:b/>
          <w:bCs/>
          <w:sz w:val="28"/>
          <w:szCs w:val="28"/>
        </w:rPr>
      </w:pPr>
      <w:r>
        <w:rPr>
          <w:b/>
          <w:bCs/>
          <w:sz w:val="28"/>
          <w:szCs w:val="28"/>
        </w:rPr>
        <w:t>G</w:t>
      </w:r>
      <w:r w:rsidRPr="00B90E63">
        <w:rPr>
          <w:b/>
          <w:bCs/>
          <w:sz w:val="28"/>
          <w:szCs w:val="28"/>
        </w:rPr>
        <w:t xml:space="preserve">overnance and </w:t>
      </w:r>
      <w:r>
        <w:rPr>
          <w:b/>
          <w:bCs/>
          <w:sz w:val="28"/>
          <w:szCs w:val="28"/>
        </w:rPr>
        <w:t>M</w:t>
      </w:r>
      <w:r w:rsidRPr="00B90E63">
        <w:rPr>
          <w:b/>
          <w:bCs/>
          <w:sz w:val="28"/>
          <w:szCs w:val="28"/>
        </w:rPr>
        <w:t xml:space="preserve">anagement </w:t>
      </w:r>
      <w:r>
        <w:rPr>
          <w:b/>
          <w:bCs/>
          <w:sz w:val="28"/>
          <w:szCs w:val="28"/>
        </w:rPr>
        <w:t>S</w:t>
      </w:r>
      <w:r w:rsidRPr="00B90E63">
        <w:rPr>
          <w:b/>
          <w:bCs/>
          <w:sz w:val="28"/>
          <w:szCs w:val="28"/>
        </w:rPr>
        <w:t>tructures</w:t>
      </w:r>
    </w:p>
    <w:p w14:paraId="55507508" w14:textId="77777777" w:rsidR="000413EC" w:rsidRDefault="000413EC" w:rsidP="000413EC">
      <w:pPr>
        <w:spacing w:after="0"/>
      </w:pPr>
    </w:p>
    <w:p w14:paraId="6D3E764A" w14:textId="009AFFB5" w:rsidR="006D54BA" w:rsidRDefault="006D54BA" w:rsidP="000413EC">
      <w:pPr>
        <w:spacing w:after="0"/>
      </w:pPr>
      <w:r>
        <w:t>HTNW has:</w:t>
      </w:r>
    </w:p>
    <w:p w14:paraId="6238075C" w14:textId="77777777" w:rsidR="007054B8" w:rsidRDefault="007054B8" w:rsidP="000413EC">
      <w:pPr>
        <w:spacing w:after="0"/>
      </w:pPr>
    </w:p>
    <w:p w14:paraId="104CF158" w14:textId="77777777" w:rsidR="006D54BA" w:rsidRDefault="006D54BA" w:rsidP="006D54BA">
      <w:pPr>
        <w:pStyle w:val="ListParagraph"/>
        <w:numPr>
          <w:ilvl w:val="0"/>
          <w:numId w:val="11"/>
        </w:numPr>
        <w:spacing w:after="0" w:line="240" w:lineRule="auto"/>
        <w:contextualSpacing w:val="0"/>
      </w:pPr>
      <w:r>
        <w:t xml:space="preserve">An experienced, unified and supportive Board of Trustees; </w:t>
      </w:r>
    </w:p>
    <w:p w14:paraId="72D36534" w14:textId="77777777" w:rsidR="006D54BA" w:rsidRDefault="006D54BA" w:rsidP="006D54BA">
      <w:pPr>
        <w:pStyle w:val="ListParagraph"/>
        <w:numPr>
          <w:ilvl w:val="0"/>
          <w:numId w:val="11"/>
        </w:numPr>
        <w:spacing w:after="0" w:line="240" w:lineRule="auto"/>
        <w:contextualSpacing w:val="0"/>
      </w:pPr>
      <w:r>
        <w:t>A Chief Executive with a strong heritage sector track record and wider legal, governance, regeneration and property management skills;</w:t>
      </w:r>
    </w:p>
    <w:p w14:paraId="32DE6A7C" w14:textId="77777777" w:rsidR="006D54BA" w:rsidRDefault="006D54BA" w:rsidP="006D54BA">
      <w:pPr>
        <w:pStyle w:val="ListParagraph"/>
        <w:numPr>
          <w:ilvl w:val="0"/>
          <w:numId w:val="11"/>
        </w:numPr>
        <w:spacing w:after="0" w:line="240" w:lineRule="auto"/>
        <w:contextualSpacing w:val="0"/>
      </w:pPr>
      <w:r>
        <w:t xml:space="preserve">A core staff team encompassing the management of operations, sites, parkland and volunteers as well as financial and office administration; </w:t>
      </w:r>
    </w:p>
    <w:p w14:paraId="19A7F4C9" w14:textId="77777777" w:rsidR="006D54BA" w:rsidRDefault="006D54BA" w:rsidP="006D54BA">
      <w:pPr>
        <w:pStyle w:val="ListParagraph"/>
        <w:numPr>
          <w:ilvl w:val="0"/>
          <w:numId w:val="11"/>
        </w:numPr>
        <w:spacing w:after="0" w:line="240" w:lineRule="auto"/>
        <w:contextualSpacing w:val="0"/>
      </w:pPr>
      <w:r>
        <w:t>Over fifty staff in total and nearly four hundred volunteers across our sites involved in the following non exhaustive list of activities:</w:t>
      </w:r>
    </w:p>
    <w:p w14:paraId="5B667F69" w14:textId="77777777" w:rsidR="006D54BA" w:rsidRDefault="006D54BA" w:rsidP="006D54BA">
      <w:pPr>
        <w:pStyle w:val="ListParagraph"/>
        <w:numPr>
          <w:ilvl w:val="1"/>
          <w:numId w:val="11"/>
        </w:numPr>
        <w:spacing w:after="0" w:line="240" w:lineRule="auto"/>
        <w:contextualSpacing w:val="0"/>
      </w:pPr>
      <w:r>
        <w:t>grounds and building maintenance;</w:t>
      </w:r>
    </w:p>
    <w:p w14:paraId="0632C86C" w14:textId="77777777" w:rsidR="006D54BA" w:rsidRDefault="006D54BA" w:rsidP="006D54BA">
      <w:pPr>
        <w:pStyle w:val="ListParagraph"/>
        <w:numPr>
          <w:ilvl w:val="1"/>
          <w:numId w:val="11"/>
        </w:numPr>
        <w:spacing w:after="0" w:line="240" w:lineRule="auto"/>
        <w:contextualSpacing w:val="0"/>
      </w:pPr>
      <w:r>
        <w:t>catering;</w:t>
      </w:r>
    </w:p>
    <w:p w14:paraId="653F9293" w14:textId="77777777" w:rsidR="006D54BA" w:rsidRDefault="006D54BA" w:rsidP="006D54BA">
      <w:pPr>
        <w:pStyle w:val="ListParagraph"/>
        <w:numPr>
          <w:ilvl w:val="1"/>
          <w:numId w:val="11"/>
        </w:numPr>
        <w:spacing w:after="0" w:line="240" w:lineRule="auto"/>
        <w:contextualSpacing w:val="0"/>
      </w:pPr>
      <w:r>
        <w:t>tour guides;</w:t>
      </w:r>
    </w:p>
    <w:p w14:paraId="52E70C35" w14:textId="77777777" w:rsidR="006D54BA" w:rsidRDefault="006D54BA" w:rsidP="006D54BA">
      <w:pPr>
        <w:pStyle w:val="ListParagraph"/>
        <w:numPr>
          <w:ilvl w:val="1"/>
          <w:numId w:val="11"/>
        </w:numPr>
        <w:spacing w:after="0" w:line="240" w:lineRule="auto"/>
        <w:contextualSpacing w:val="0"/>
      </w:pPr>
      <w:r>
        <w:t>archives;</w:t>
      </w:r>
    </w:p>
    <w:p w14:paraId="04CC424C" w14:textId="77777777" w:rsidR="006D54BA" w:rsidRDefault="006D54BA" w:rsidP="006D54BA">
      <w:pPr>
        <w:pStyle w:val="ListParagraph"/>
        <w:numPr>
          <w:ilvl w:val="1"/>
          <w:numId w:val="11"/>
        </w:numPr>
        <w:spacing w:after="0" w:line="240" w:lineRule="auto"/>
        <w:contextualSpacing w:val="0"/>
      </w:pPr>
      <w:r>
        <w:t xml:space="preserve">administration; and </w:t>
      </w:r>
    </w:p>
    <w:p w14:paraId="2B180672" w14:textId="77777777" w:rsidR="006D54BA" w:rsidRDefault="006D54BA" w:rsidP="006D54BA">
      <w:pPr>
        <w:pStyle w:val="ListParagraph"/>
        <w:numPr>
          <w:ilvl w:val="1"/>
          <w:numId w:val="11"/>
        </w:numPr>
        <w:spacing w:after="0" w:line="240" w:lineRule="auto"/>
        <w:contextualSpacing w:val="0"/>
      </w:pPr>
      <w:r>
        <w:t xml:space="preserve">retail. </w:t>
      </w:r>
    </w:p>
    <w:p w14:paraId="1FC4C7FC" w14:textId="77777777" w:rsidR="007054B8" w:rsidRDefault="007054B8" w:rsidP="007054B8">
      <w:pPr>
        <w:pStyle w:val="ListParagraph"/>
        <w:spacing w:after="0" w:line="240" w:lineRule="auto"/>
        <w:ind w:left="1440"/>
        <w:contextualSpacing w:val="0"/>
      </w:pPr>
    </w:p>
    <w:p w14:paraId="72B278AC" w14:textId="77777777" w:rsidR="006D54BA" w:rsidRDefault="006D54BA" w:rsidP="006D54BA">
      <w:r>
        <w:t>We also have a wholly owned trading company LHT Enterprises and a small but still effective building repair and management company, Conservation Services North West Limited. These companies are directly managed by the HTNW Chief Executive and Board of Trustees acting as directors.</w:t>
      </w:r>
    </w:p>
    <w:p w14:paraId="43CC443D" w14:textId="27011504" w:rsidR="006D54BA" w:rsidRDefault="001874BB" w:rsidP="009B4DDF">
      <w:pPr>
        <w:jc w:val="center"/>
      </w:pPr>
      <w:r w:rsidRPr="001874BB">
        <w:rPr>
          <w:noProof/>
        </w:rPr>
        <w:lastRenderedPageBreak/>
        <w:drawing>
          <wp:inline distT="0" distB="0" distL="0" distR="0" wp14:anchorId="6F8FF21F" wp14:editId="7576A6D3">
            <wp:extent cx="5731510" cy="4427220"/>
            <wp:effectExtent l="0" t="0" r="2540" b="0"/>
            <wp:docPr id="1432063969" name="Picture 1" descr="A chart with colorful rectangular box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063969" name="Picture 1" descr="A chart with colorful rectangular boxes&#10;&#10;AI-generated content may be incorrect."/>
                    <pic:cNvPicPr/>
                  </pic:nvPicPr>
                  <pic:blipFill>
                    <a:blip r:embed="rId11"/>
                    <a:stretch>
                      <a:fillRect/>
                    </a:stretch>
                  </pic:blipFill>
                  <pic:spPr>
                    <a:xfrm>
                      <a:off x="0" y="0"/>
                      <a:ext cx="5731510" cy="4427220"/>
                    </a:xfrm>
                    <a:prstGeom prst="rect">
                      <a:avLst/>
                    </a:prstGeom>
                  </pic:spPr>
                </pic:pic>
              </a:graphicData>
            </a:graphic>
          </wp:inline>
        </w:drawing>
      </w:r>
    </w:p>
    <w:p w14:paraId="419BC8BD" w14:textId="77777777" w:rsidR="009B4DDF" w:rsidRDefault="009B4DDF" w:rsidP="009C1686">
      <w:pPr>
        <w:spacing w:after="0"/>
        <w:jc w:val="center"/>
      </w:pPr>
    </w:p>
    <w:p w14:paraId="7073ACCB" w14:textId="18C692F0" w:rsidR="00B85922" w:rsidRPr="00B85922" w:rsidRDefault="00B85922" w:rsidP="003038C0">
      <w:pPr>
        <w:pStyle w:val="ListParagraph"/>
        <w:numPr>
          <w:ilvl w:val="0"/>
          <w:numId w:val="10"/>
        </w:numPr>
        <w:spacing w:after="0" w:line="240" w:lineRule="auto"/>
        <w:contextualSpacing w:val="0"/>
        <w:rPr>
          <w:b/>
          <w:bCs/>
          <w:sz w:val="28"/>
          <w:szCs w:val="28"/>
        </w:rPr>
      </w:pPr>
      <w:r w:rsidRPr="00B85922">
        <w:rPr>
          <w:b/>
          <w:bCs/>
          <w:sz w:val="28"/>
          <w:szCs w:val="28"/>
        </w:rPr>
        <w:t>Board</w:t>
      </w:r>
      <w:r w:rsidR="0044222C">
        <w:rPr>
          <w:b/>
          <w:bCs/>
          <w:sz w:val="28"/>
          <w:szCs w:val="28"/>
        </w:rPr>
        <w:t xml:space="preserve"> Meetings</w:t>
      </w:r>
      <w:r w:rsidRPr="00B85922">
        <w:rPr>
          <w:b/>
          <w:bCs/>
          <w:sz w:val="28"/>
          <w:szCs w:val="28"/>
        </w:rPr>
        <w:t xml:space="preserve"> </w:t>
      </w:r>
    </w:p>
    <w:p w14:paraId="7A2F5EC3" w14:textId="77777777" w:rsidR="003038C0" w:rsidRDefault="003038C0" w:rsidP="009C1686">
      <w:pPr>
        <w:spacing w:after="0"/>
      </w:pPr>
    </w:p>
    <w:p w14:paraId="26D7FAE1" w14:textId="7095021F" w:rsidR="003038C0" w:rsidRPr="00B85922" w:rsidRDefault="00B85922" w:rsidP="003038C0">
      <w:r w:rsidRPr="00B85922">
        <w:t>Heritage Trust N</w:t>
      </w:r>
      <w:r w:rsidR="003038C0">
        <w:t xml:space="preserve">orth West </w:t>
      </w:r>
      <w:r w:rsidRPr="00B85922">
        <w:t xml:space="preserve">is a company limited by guarantee and a charity. It is governed by a Board of </w:t>
      </w:r>
      <w:r w:rsidR="0049741D">
        <w:t>T</w:t>
      </w:r>
      <w:r w:rsidRPr="00B85922">
        <w:t>rustees including a Chair</w:t>
      </w:r>
      <w:r w:rsidR="00C253FB">
        <w:t>, a Vice Chair, a Treasurer and a Secretary</w:t>
      </w:r>
      <w:r w:rsidRPr="00B85922">
        <w:t xml:space="preserve">. </w:t>
      </w:r>
      <w:r w:rsidR="003038C0" w:rsidRPr="00B85922">
        <w:t xml:space="preserve">Please refer to the Articles of Association for more detailed rules on the conduct of board meetings. </w:t>
      </w:r>
    </w:p>
    <w:p w14:paraId="5A4EC17A" w14:textId="1E6776D7" w:rsidR="00B85922" w:rsidRDefault="00B85922" w:rsidP="000E7DD7">
      <w:r w:rsidRPr="00B85922">
        <w:t xml:space="preserve">Meetings </w:t>
      </w:r>
      <w:r w:rsidR="00E30881">
        <w:t>are usually</w:t>
      </w:r>
      <w:r w:rsidRPr="00B85922">
        <w:t xml:space="preserve"> held quarterly in </w:t>
      </w:r>
      <w:r w:rsidR="00E30881">
        <w:t>February</w:t>
      </w:r>
      <w:r w:rsidRPr="00B85922">
        <w:t xml:space="preserve">, </w:t>
      </w:r>
      <w:r w:rsidR="00E30881">
        <w:t>May</w:t>
      </w:r>
      <w:r w:rsidRPr="00B85922">
        <w:t>, A</w:t>
      </w:r>
      <w:r w:rsidR="00E30881">
        <w:t xml:space="preserve">ugust </w:t>
      </w:r>
      <w:r w:rsidRPr="00B85922">
        <w:t xml:space="preserve">and </w:t>
      </w:r>
      <w:r w:rsidR="00E30881">
        <w:t xml:space="preserve">November with </w:t>
      </w:r>
      <w:r w:rsidR="00334252">
        <w:t>the</w:t>
      </w:r>
      <w:r w:rsidR="00E30881">
        <w:t xml:space="preserve"> final meeting also being our AGM</w:t>
      </w:r>
      <w:r w:rsidRPr="00B85922">
        <w:t xml:space="preserve">. Most meetings are held </w:t>
      </w:r>
      <w:r w:rsidR="00F60059">
        <w:t xml:space="preserve">in person in the day but some will be online </w:t>
      </w:r>
      <w:r w:rsidR="0044222C">
        <w:t xml:space="preserve">or hybrid </w:t>
      </w:r>
      <w:r w:rsidR="00F60059">
        <w:t xml:space="preserve">and we are open to changing time and location to suit </w:t>
      </w:r>
      <w:r w:rsidR="0044222C">
        <w:t xml:space="preserve">new trustees to ensure maximum participation. </w:t>
      </w:r>
      <w:r w:rsidRPr="00B85922">
        <w:t xml:space="preserve"> </w:t>
      </w:r>
    </w:p>
    <w:p w14:paraId="603E11A4" w14:textId="77777777" w:rsidR="009C1686" w:rsidRPr="00B85922" w:rsidRDefault="009C1686" w:rsidP="009C1686">
      <w:pPr>
        <w:spacing w:after="0"/>
      </w:pPr>
    </w:p>
    <w:p w14:paraId="2A3876F4" w14:textId="2E3DE733" w:rsidR="00B85922" w:rsidRPr="00B85922" w:rsidRDefault="00B85922" w:rsidP="009C1686">
      <w:pPr>
        <w:pStyle w:val="ListParagraph"/>
        <w:numPr>
          <w:ilvl w:val="0"/>
          <w:numId w:val="10"/>
        </w:numPr>
        <w:spacing w:after="0" w:line="240" w:lineRule="auto"/>
        <w:contextualSpacing w:val="0"/>
        <w:rPr>
          <w:b/>
          <w:bCs/>
          <w:sz w:val="28"/>
          <w:szCs w:val="28"/>
        </w:rPr>
      </w:pPr>
      <w:r w:rsidRPr="00B85922">
        <w:rPr>
          <w:b/>
          <w:bCs/>
          <w:sz w:val="28"/>
          <w:szCs w:val="28"/>
        </w:rPr>
        <w:t xml:space="preserve">Roles and Responsibilities </w:t>
      </w:r>
    </w:p>
    <w:p w14:paraId="1BB823AE" w14:textId="77777777" w:rsidR="009C1686" w:rsidRDefault="009C1686" w:rsidP="009C1686">
      <w:pPr>
        <w:spacing w:after="0" w:line="240" w:lineRule="auto"/>
      </w:pPr>
    </w:p>
    <w:p w14:paraId="53383EAA" w14:textId="4837B218" w:rsidR="00B85922" w:rsidRPr="00B85922" w:rsidRDefault="00B85922" w:rsidP="000E7DD7">
      <w:r w:rsidRPr="00B85922">
        <w:t xml:space="preserve">Members of the Board take responsibility for four key areas: </w:t>
      </w:r>
    </w:p>
    <w:p w14:paraId="2FC8D94C" w14:textId="151BF6CC" w:rsidR="00B85922" w:rsidRPr="00B85922" w:rsidRDefault="00B85922" w:rsidP="000E7DD7">
      <w:r w:rsidRPr="00B85922">
        <w:rPr>
          <w:b/>
          <w:bCs/>
        </w:rPr>
        <w:lastRenderedPageBreak/>
        <w:t>Strategy</w:t>
      </w:r>
      <w:r w:rsidRPr="00B85922">
        <w:t xml:space="preserve">: The Board sets </w:t>
      </w:r>
      <w:r w:rsidR="009B79FC">
        <w:t>our</w:t>
      </w:r>
      <w:r w:rsidRPr="00B85922">
        <w:t xml:space="preserve"> vision, values and standards and ensure that its obligations are understood and met. </w:t>
      </w:r>
      <w:r w:rsidR="000E6CDA">
        <w:t xml:space="preserve">The </w:t>
      </w:r>
      <w:r w:rsidRPr="00B85922">
        <w:t>Board also set</w:t>
      </w:r>
      <w:r w:rsidR="000E6CDA">
        <w:t>s</w:t>
      </w:r>
      <w:r w:rsidRPr="00B85922">
        <w:t xml:space="preserve"> the strategic aims and ensure that the necessary human and financial resources are in place for the </w:t>
      </w:r>
      <w:r w:rsidR="000E6CDA">
        <w:t>organisation</w:t>
      </w:r>
      <w:r w:rsidRPr="00B85922">
        <w:t xml:space="preserve"> to meet its objectives. </w:t>
      </w:r>
    </w:p>
    <w:p w14:paraId="474514C5" w14:textId="2E021193" w:rsidR="00B85922" w:rsidRPr="00B85922" w:rsidRDefault="00B85922" w:rsidP="009C1686">
      <w:r w:rsidRPr="00B85922">
        <w:rPr>
          <w:b/>
          <w:bCs/>
        </w:rPr>
        <w:t>Performance</w:t>
      </w:r>
      <w:r w:rsidRPr="00B85922">
        <w:t xml:space="preserve">: </w:t>
      </w:r>
      <w:r w:rsidR="003470C4">
        <w:t>The Board</w:t>
      </w:r>
      <w:r w:rsidRPr="00B85922">
        <w:t xml:space="preserve"> scrutinise</w:t>
      </w:r>
      <w:r w:rsidR="003470C4">
        <w:t>s</w:t>
      </w:r>
      <w:r w:rsidRPr="00B85922">
        <w:t xml:space="preserve"> the performance of Chief Executive and staff team in meeting agreed goals and objectives and monitor the reporting of performance. </w:t>
      </w:r>
    </w:p>
    <w:p w14:paraId="403AB371" w14:textId="5464D675" w:rsidR="00B85922" w:rsidRPr="00B85922" w:rsidRDefault="00B85922" w:rsidP="009C1686">
      <w:r w:rsidRPr="00B85922">
        <w:rPr>
          <w:b/>
          <w:bCs/>
        </w:rPr>
        <w:t>Risk</w:t>
      </w:r>
      <w:r w:rsidRPr="00B85922">
        <w:t>: The Board provide</w:t>
      </w:r>
      <w:r w:rsidR="003470C4">
        <w:t>s</w:t>
      </w:r>
      <w:r w:rsidRPr="00B85922">
        <w:t xml:space="preserve"> leadership of the </w:t>
      </w:r>
      <w:r w:rsidR="003470C4">
        <w:t>organisation</w:t>
      </w:r>
      <w:r w:rsidRPr="00B85922">
        <w:t xml:space="preserve"> within a framework of effective controls, which enable risk to be assessed and managed. </w:t>
      </w:r>
      <w:r w:rsidR="002A3873">
        <w:t xml:space="preserve">All </w:t>
      </w:r>
      <w:r w:rsidRPr="00B85922">
        <w:t xml:space="preserve">Board </w:t>
      </w:r>
      <w:r w:rsidR="003470C4">
        <w:t>m</w:t>
      </w:r>
      <w:r w:rsidRPr="00B85922">
        <w:t xml:space="preserve">embers should satisfy themselves on the integrity of financial information and that financial controls and systems of risk management are robust and defensible. </w:t>
      </w:r>
    </w:p>
    <w:p w14:paraId="2702C2C7" w14:textId="2FE33A87" w:rsidR="00B85922" w:rsidRDefault="00B85922" w:rsidP="009C1686">
      <w:r w:rsidRPr="00B85922">
        <w:rPr>
          <w:b/>
          <w:bCs/>
        </w:rPr>
        <w:t>People</w:t>
      </w:r>
      <w:r w:rsidRPr="00B85922">
        <w:t xml:space="preserve">: </w:t>
      </w:r>
      <w:r w:rsidR="003470C4">
        <w:t>The Board</w:t>
      </w:r>
      <w:r w:rsidRPr="00B85922">
        <w:t xml:space="preserve"> </w:t>
      </w:r>
      <w:r w:rsidR="00C01E47">
        <w:t>are</w:t>
      </w:r>
      <w:r w:rsidRPr="00B85922">
        <w:t xml:space="preserve"> aware of the interests of all </w:t>
      </w:r>
      <w:r w:rsidR="004E0336">
        <w:t xml:space="preserve">our </w:t>
      </w:r>
      <w:r w:rsidRPr="00B85922">
        <w:t>stakeholders</w:t>
      </w:r>
      <w:r w:rsidR="00C01E47">
        <w:t xml:space="preserve"> such as partners and funders</w:t>
      </w:r>
      <w:r w:rsidR="007F27BE">
        <w:t xml:space="preserve">. They </w:t>
      </w:r>
      <w:r w:rsidRPr="00B85922">
        <w:t xml:space="preserve">have a prime role in appointing and reviewing the performance of the </w:t>
      </w:r>
      <w:r w:rsidR="00373E1E">
        <w:t>Chief Executive but also other senior staff</w:t>
      </w:r>
      <w:r w:rsidR="00D45CDF">
        <w:t xml:space="preserve"> and</w:t>
      </w:r>
      <w:r w:rsidR="007F27BE">
        <w:t xml:space="preserve"> fellow trustees</w:t>
      </w:r>
      <w:r w:rsidR="004E0336">
        <w:t xml:space="preserve">. They have </w:t>
      </w:r>
      <w:r w:rsidR="007F27BE">
        <w:t xml:space="preserve">a general responsibility for the welfare of all our staff and volunteers ensuring that good practice and a framework of </w:t>
      </w:r>
      <w:r w:rsidR="00D45CDF">
        <w:t xml:space="preserve">appropriate </w:t>
      </w:r>
      <w:r w:rsidR="007F27BE">
        <w:t>polices are</w:t>
      </w:r>
      <w:r w:rsidR="004E0336">
        <w:t xml:space="preserve"> in place and adhered to.</w:t>
      </w:r>
    </w:p>
    <w:p w14:paraId="7D565CC4" w14:textId="77777777" w:rsidR="0089745F" w:rsidRPr="00B85922" w:rsidRDefault="0089745F" w:rsidP="0089745F">
      <w:pPr>
        <w:spacing w:after="0"/>
      </w:pPr>
    </w:p>
    <w:p w14:paraId="2FF72622" w14:textId="18AD7D3C" w:rsidR="00B85922" w:rsidRPr="00B85922" w:rsidRDefault="00B85922" w:rsidP="00B72E7A">
      <w:pPr>
        <w:pStyle w:val="ListParagraph"/>
        <w:numPr>
          <w:ilvl w:val="0"/>
          <w:numId w:val="10"/>
        </w:numPr>
        <w:spacing w:after="0" w:line="240" w:lineRule="auto"/>
        <w:contextualSpacing w:val="0"/>
        <w:rPr>
          <w:b/>
          <w:bCs/>
          <w:sz w:val="28"/>
          <w:szCs w:val="28"/>
        </w:rPr>
      </w:pPr>
      <w:r w:rsidRPr="00B85922">
        <w:rPr>
          <w:b/>
          <w:bCs/>
          <w:sz w:val="28"/>
          <w:szCs w:val="28"/>
        </w:rPr>
        <w:t xml:space="preserve">Role of the Chair </w:t>
      </w:r>
    </w:p>
    <w:p w14:paraId="7F84C0B0" w14:textId="77777777" w:rsidR="00B72E7A" w:rsidRDefault="00B72E7A" w:rsidP="00B72E7A">
      <w:pPr>
        <w:spacing w:after="0"/>
      </w:pPr>
    </w:p>
    <w:p w14:paraId="52473A7B" w14:textId="40CE5250" w:rsidR="00B85922" w:rsidRPr="00B85922" w:rsidRDefault="00B85922" w:rsidP="00B72E7A">
      <w:r w:rsidRPr="00B85922">
        <w:t xml:space="preserve">The Chair is appointed by the </w:t>
      </w:r>
      <w:r w:rsidR="00AE51D4">
        <w:t>B</w:t>
      </w:r>
      <w:r w:rsidRPr="00B85922">
        <w:t>oard to act as Chair of the Board</w:t>
      </w:r>
      <w:r w:rsidR="00B72E7A">
        <w:t xml:space="preserve">, </w:t>
      </w:r>
      <w:r w:rsidRPr="00B85922">
        <w:t xml:space="preserve">Chair of the Annual General Meeting and any other General Meetings of the </w:t>
      </w:r>
      <w:r w:rsidR="00B72E7A">
        <w:t>organisation.</w:t>
      </w:r>
      <w:r w:rsidR="009A6464">
        <w:t xml:space="preserve"> </w:t>
      </w:r>
      <w:r w:rsidRPr="00B85922">
        <w:t>They have a casting vote at meetings where they are in the Chair</w:t>
      </w:r>
      <w:r w:rsidR="009A6464">
        <w:t>.</w:t>
      </w:r>
    </w:p>
    <w:p w14:paraId="119B6192" w14:textId="427F072C" w:rsidR="00B85922" w:rsidRPr="00B85922" w:rsidRDefault="009A6464" w:rsidP="00B72E7A">
      <w:r>
        <w:t xml:space="preserve">Specific </w:t>
      </w:r>
      <w:r w:rsidR="003C3042">
        <w:t>r</w:t>
      </w:r>
      <w:r w:rsidR="00B85922" w:rsidRPr="00B85922">
        <w:t>esponsibilities</w:t>
      </w:r>
      <w:r>
        <w:t xml:space="preserve"> include</w:t>
      </w:r>
      <w:r w:rsidR="00B85922" w:rsidRPr="00B85922">
        <w:t xml:space="preserve">: </w:t>
      </w:r>
    </w:p>
    <w:p w14:paraId="7F4FEE0E" w14:textId="3BD824E9" w:rsidR="00614ABF" w:rsidRPr="008828F1" w:rsidRDefault="00614ABF" w:rsidP="00E22E2E">
      <w:pPr>
        <w:pStyle w:val="ListParagraph"/>
        <w:numPr>
          <w:ilvl w:val="0"/>
          <w:numId w:val="14"/>
        </w:numPr>
      </w:pPr>
      <w:r w:rsidRPr="008828F1">
        <w:t xml:space="preserve">Ensure the proper conduct of </w:t>
      </w:r>
      <w:r>
        <w:t xml:space="preserve">all </w:t>
      </w:r>
      <w:r w:rsidRPr="008828F1">
        <w:t xml:space="preserve">Board </w:t>
      </w:r>
      <w:r>
        <w:t>b</w:t>
      </w:r>
      <w:r w:rsidRPr="008828F1">
        <w:t>usiness</w:t>
      </w:r>
      <w:r>
        <w:t>.</w:t>
      </w:r>
    </w:p>
    <w:p w14:paraId="00786FD0" w14:textId="395439AF" w:rsidR="00B85922" w:rsidRPr="00B85922" w:rsidRDefault="00B85922" w:rsidP="00E22E2E">
      <w:pPr>
        <w:pStyle w:val="ListParagraph"/>
        <w:numPr>
          <w:ilvl w:val="0"/>
          <w:numId w:val="14"/>
        </w:numPr>
      </w:pPr>
      <w:r w:rsidRPr="00B85922">
        <w:t>Ensure probity and integrity of the Board</w:t>
      </w:r>
      <w:r w:rsidR="007D6111">
        <w:t>.</w:t>
      </w:r>
    </w:p>
    <w:p w14:paraId="27662347" w14:textId="796E092F" w:rsidR="00B85922" w:rsidRPr="00B85922" w:rsidRDefault="00B85922" w:rsidP="00E22E2E">
      <w:pPr>
        <w:pStyle w:val="ListParagraph"/>
        <w:numPr>
          <w:ilvl w:val="0"/>
          <w:numId w:val="14"/>
        </w:numPr>
      </w:pPr>
      <w:r w:rsidRPr="00B85922">
        <w:t>Approve Board Agendas</w:t>
      </w:r>
      <w:r w:rsidR="007D6111">
        <w:t>.</w:t>
      </w:r>
    </w:p>
    <w:p w14:paraId="610EA6D4" w14:textId="0D63384E" w:rsidR="008828F1" w:rsidRPr="008828F1" w:rsidRDefault="001F3064" w:rsidP="00E22E2E">
      <w:pPr>
        <w:pStyle w:val="ListParagraph"/>
        <w:numPr>
          <w:ilvl w:val="0"/>
          <w:numId w:val="14"/>
        </w:numPr>
      </w:pPr>
      <w:r>
        <w:t xml:space="preserve">Take </w:t>
      </w:r>
      <w:r w:rsidR="008828F1" w:rsidRPr="008828F1">
        <w:t>part in, or approve processes for, selection and appointment of Trustees</w:t>
      </w:r>
      <w:r w:rsidR="007D6111">
        <w:t>.</w:t>
      </w:r>
      <w:r w:rsidR="008828F1" w:rsidRPr="008828F1">
        <w:t xml:space="preserve"> </w:t>
      </w:r>
    </w:p>
    <w:p w14:paraId="78A06255" w14:textId="46E3CBFF" w:rsidR="008828F1" w:rsidRPr="008828F1" w:rsidRDefault="008828F1" w:rsidP="00E22E2E">
      <w:pPr>
        <w:pStyle w:val="ListParagraph"/>
        <w:numPr>
          <w:ilvl w:val="0"/>
          <w:numId w:val="14"/>
        </w:numPr>
      </w:pPr>
      <w:r w:rsidRPr="008828F1">
        <w:t xml:space="preserve">Establish, maintain and develop reporting and meeting procedures for the Board and its Committees </w:t>
      </w:r>
      <w:r w:rsidR="00614ABF">
        <w:t xml:space="preserve">if any. </w:t>
      </w:r>
    </w:p>
    <w:p w14:paraId="7F406F15" w14:textId="1F609B54" w:rsidR="008828F1" w:rsidRPr="008828F1" w:rsidRDefault="008828F1" w:rsidP="00E22E2E">
      <w:pPr>
        <w:pStyle w:val="ListParagraph"/>
        <w:numPr>
          <w:ilvl w:val="0"/>
          <w:numId w:val="14"/>
        </w:numPr>
      </w:pPr>
      <w:r w:rsidRPr="008828F1">
        <w:t xml:space="preserve">Ensure the Board assign appropriate tasks and objectives to individual members and agree the working </w:t>
      </w:r>
      <w:r w:rsidR="00E9201A">
        <w:t xml:space="preserve">and reporting </w:t>
      </w:r>
      <w:r w:rsidRPr="008828F1">
        <w:t>relationships</w:t>
      </w:r>
      <w:r w:rsidR="00E9201A">
        <w:t>.</w:t>
      </w:r>
    </w:p>
    <w:p w14:paraId="65F27981" w14:textId="4ECEB674" w:rsidR="008828F1" w:rsidRPr="008828F1" w:rsidRDefault="008828F1" w:rsidP="00E22E2E">
      <w:pPr>
        <w:pStyle w:val="ListParagraph"/>
        <w:numPr>
          <w:ilvl w:val="0"/>
          <w:numId w:val="14"/>
        </w:numPr>
      </w:pPr>
      <w:r w:rsidRPr="008828F1">
        <w:t>Ensure the Board receives the timely information it needs</w:t>
      </w:r>
      <w:r w:rsidR="00E9201A">
        <w:t>.</w:t>
      </w:r>
    </w:p>
    <w:p w14:paraId="222C33E4" w14:textId="391C1E09" w:rsidR="008828F1" w:rsidRPr="008828F1" w:rsidRDefault="008828F1" w:rsidP="00E22E2E">
      <w:pPr>
        <w:pStyle w:val="ListParagraph"/>
        <w:numPr>
          <w:ilvl w:val="0"/>
          <w:numId w:val="14"/>
        </w:numPr>
      </w:pPr>
      <w:r w:rsidRPr="008828F1">
        <w:t>Maintain proper focus on the Board’s key role and tasks</w:t>
      </w:r>
      <w:r w:rsidR="00E9201A">
        <w:t>.</w:t>
      </w:r>
    </w:p>
    <w:p w14:paraId="14CF6622" w14:textId="6A8F78AD" w:rsidR="008828F1" w:rsidRPr="008828F1" w:rsidRDefault="008828F1" w:rsidP="00E22E2E">
      <w:pPr>
        <w:pStyle w:val="ListParagraph"/>
        <w:numPr>
          <w:ilvl w:val="0"/>
          <w:numId w:val="14"/>
        </w:numPr>
      </w:pPr>
      <w:r w:rsidRPr="008828F1">
        <w:t xml:space="preserve">Keep meetings to time, allowing </w:t>
      </w:r>
      <w:r w:rsidR="00EC35FE">
        <w:t>opportunity</w:t>
      </w:r>
      <w:r w:rsidRPr="008828F1">
        <w:t xml:space="preserve"> for important matters to be discussed thoroughly</w:t>
      </w:r>
      <w:r w:rsidR="003841E1">
        <w:t>.</w:t>
      </w:r>
    </w:p>
    <w:p w14:paraId="738DD195" w14:textId="52F5DD30" w:rsidR="008828F1" w:rsidRPr="008828F1" w:rsidRDefault="008828F1" w:rsidP="00E22E2E">
      <w:pPr>
        <w:pStyle w:val="ListParagraph"/>
        <w:numPr>
          <w:ilvl w:val="0"/>
          <w:numId w:val="14"/>
        </w:numPr>
      </w:pPr>
      <w:r w:rsidRPr="008828F1">
        <w:t xml:space="preserve">Encourage and ensure all </w:t>
      </w:r>
      <w:r w:rsidR="00364791">
        <w:t>t</w:t>
      </w:r>
      <w:r w:rsidRPr="008828F1">
        <w:t>rustees make a full contribution</w:t>
      </w:r>
      <w:r w:rsidR="003841E1">
        <w:t>.</w:t>
      </w:r>
      <w:r w:rsidRPr="008828F1">
        <w:t xml:space="preserve"> </w:t>
      </w:r>
    </w:p>
    <w:p w14:paraId="22AE39EA" w14:textId="342DF521" w:rsidR="008828F1" w:rsidRPr="008828F1" w:rsidRDefault="008828F1" w:rsidP="00E22E2E">
      <w:pPr>
        <w:pStyle w:val="ListParagraph"/>
        <w:numPr>
          <w:ilvl w:val="0"/>
          <w:numId w:val="14"/>
        </w:numPr>
      </w:pPr>
      <w:r w:rsidRPr="008828F1">
        <w:t>Draw together pertinent points to reach well informed consensus</w:t>
      </w:r>
      <w:r w:rsidR="003841E1">
        <w:t>.</w:t>
      </w:r>
    </w:p>
    <w:p w14:paraId="12B0150B" w14:textId="448260C9" w:rsidR="003841E1" w:rsidRPr="003841E1" w:rsidRDefault="008828F1" w:rsidP="00E22E2E">
      <w:pPr>
        <w:pStyle w:val="ListParagraph"/>
        <w:numPr>
          <w:ilvl w:val="0"/>
          <w:numId w:val="14"/>
        </w:numPr>
        <w:autoSpaceDE w:val="0"/>
        <w:autoSpaceDN w:val="0"/>
        <w:adjustRightInd w:val="0"/>
        <w:spacing w:after="40" w:line="240" w:lineRule="auto"/>
        <w:rPr>
          <w:rFonts w:ascii="Calibri" w:hAnsi="Calibri" w:cs="Calibri"/>
          <w:color w:val="000000"/>
          <w:kern w:val="0"/>
        </w:rPr>
      </w:pPr>
      <w:r w:rsidRPr="008828F1">
        <w:t xml:space="preserve">Ensure adequate </w:t>
      </w:r>
      <w:r w:rsidR="0058025F">
        <w:t>m</w:t>
      </w:r>
      <w:r w:rsidRPr="008828F1">
        <w:t>inutes are kept</w:t>
      </w:r>
      <w:r w:rsidR="00E16FCA">
        <w:t xml:space="preserve"> and agreed actions completed</w:t>
      </w:r>
      <w:r w:rsidR="003841E1">
        <w:t>.</w:t>
      </w:r>
      <w:r w:rsidRPr="008828F1">
        <w:t xml:space="preserve"> </w:t>
      </w:r>
    </w:p>
    <w:p w14:paraId="7911A66F" w14:textId="37495EC5" w:rsidR="008828F1" w:rsidRPr="008828F1" w:rsidRDefault="008828F1" w:rsidP="00E22E2E">
      <w:pPr>
        <w:pStyle w:val="ListParagraph"/>
        <w:numPr>
          <w:ilvl w:val="0"/>
          <w:numId w:val="14"/>
        </w:numPr>
      </w:pPr>
      <w:r w:rsidRPr="008828F1">
        <w:t>Review and monitor the Board’s effectiveness and conduct an annual performance appraisal of the Board and the members of the Board</w:t>
      </w:r>
      <w:r w:rsidR="00E16FCA">
        <w:t xml:space="preserve"> by having at least annual one to one conversations with each member</w:t>
      </w:r>
      <w:r w:rsidR="007C6623">
        <w:t xml:space="preserve"> at a dedicated </w:t>
      </w:r>
      <w:r w:rsidR="00D12D55">
        <w:t xml:space="preserve">private </w:t>
      </w:r>
      <w:r w:rsidR="007C6623">
        <w:t>meeting</w:t>
      </w:r>
      <w:r w:rsidRPr="008828F1">
        <w:t xml:space="preserve">. </w:t>
      </w:r>
    </w:p>
    <w:p w14:paraId="352AE630" w14:textId="296B6C9F" w:rsidR="008828F1" w:rsidRPr="008828F1" w:rsidRDefault="008828F1" w:rsidP="00E22E2E">
      <w:pPr>
        <w:pStyle w:val="ListParagraph"/>
        <w:numPr>
          <w:ilvl w:val="0"/>
          <w:numId w:val="14"/>
        </w:numPr>
      </w:pPr>
      <w:r w:rsidRPr="008828F1">
        <w:lastRenderedPageBreak/>
        <w:t>Review and monitor the performance of the Chief Executive as required by the Board</w:t>
      </w:r>
      <w:r w:rsidR="005E0F8C">
        <w:t>.</w:t>
      </w:r>
      <w:r w:rsidRPr="008828F1">
        <w:t xml:space="preserve"> </w:t>
      </w:r>
    </w:p>
    <w:p w14:paraId="49CD8EA3" w14:textId="46C6634C" w:rsidR="008828F1" w:rsidRDefault="008828F1" w:rsidP="00E22E2E">
      <w:pPr>
        <w:pStyle w:val="ListParagraph"/>
        <w:numPr>
          <w:ilvl w:val="0"/>
          <w:numId w:val="14"/>
        </w:numPr>
      </w:pPr>
      <w:r w:rsidRPr="008828F1">
        <w:t xml:space="preserve">Effectively manage any </w:t>
      </w:r>
      <w:r w:rsidR="005E0F8C">
        <w:t>c</w:t>
      </w:r>
      <w:r w:rsidRPr="008828F1">
        <w:t xml:space="preserve">onflicts of </w:t>
      </w:r>
      <w:r w:rsidR="005E0F8C">
        <w:t>i</w:t>
      </w:r>
      <w:r w:rsidRPr="008828F1">
        <w:t>nterest</w:t>
      </w:r>
      <w:r w:rsidR="005E0F8C">
        <w:t>.</w:t>
      </w:r>
    </w:p>
    <w:p w14:paraId="1738C4C2" w14:textId="5FECEA5B" w:rsidR="00CC0291" w:rsidRDefault="00CC0291" w:rsidP="00CC0291">
      <w:r>
        <w:t xml:space="preserve">The Board may appoint a Vice Chair and if they do so that person also assumes the responsibilities listed above if the Chair is not able to </w:t>
      </w:r>
      <w:r w:rsidR="00067510">
        <w:t>complete them for any reason.</w:t>
      </w:r>
    </w:p>
    <w:p w14:paraId="35AAE4CF" w14:textId="77777777" w:rsidR="00067510" w:rsidRPr="008828F1" w:rsidRDefault="00067510" w:rsidP="00067510">
      <w:pPr>
        <w:spacing w:after="0"/>
      </w:pPr>
    </w:p>
    <w:p w14:paraId="6DE5DCD4" w14:textId="1781F601" w:rsidR="008828F1" w:rsidRPr="008828F1" w:rsidRDefault="008828F1" w:rsidP="003818FE">
      <w:pPr>
        <w:pStyle w:val="ListParagraph"/>
        <w:numPr>
          <w:ilvl w:val="0"/>
          <w:numId w:val="10"/>
        </w:numPr>
        <w:spacing w:after="0" w:line="240" w:lineRule="auto"/>
        <w:contextualSpacing w:val="0"/>
        <w:rPr>
          <w:b/>
          <w:bCs/>
          <w:sz w:val="28"/>
          <w:szCs w:val="28"/>
        </w:rPr>
      </w:pPr>
      <w:r w:rsidRPr="008828F1">
        <w:rPr>
          <w:b/>
          <w:bCs/>
          <w:sz w:val="28"/>
          <w:szCs w:val="28"/>
        </w:rPr>
        <w:t xml:space="preserve">Board sub committees </w:t>
      </w:r>
    </w:p>
    <w:p w14:paraId="04E05A9B" w14:textId="77777777" w:rsidR="003818FE" w:rsidRDefault="003818FE" w:rsidP="003818FE">
      <w:pPr>
        <w:spacing w:after="0"/>
      </w:pPr>
    </w:p>
    <w:p w14:paraId="26559426" w14:textId="009F8CBE" w:rsidR="008828F1" w:rsidRDefault="008828F1" w:rsidP="003818FE">
      <w:r w:rsidRPr="008828F1">
        <w:t xml:space="preserve">The </w:t>
      </w:r>
      <w:r w:rsidR="003818FE">
        <w:t>B</w:t>
      </w:r>
      <w:r w:rsidRPr="008828F1">
        <w:t>oard is able to appoint sub-committees and working groups and delegate decision making powers to them</w:t>
      </w:r>
      <w:r w:rsidR="003818FE">
        <w:t xml:space="preserve"> but we do not currently have any.</w:t>
      </w:r>
      <w:r w:rsidRPr="008828F1">
        <w:t xml:space="preserve"> </w:t>
      </w:r>
    </w:p>
    <w:p w14:paraId="0C6E4210" w14:textId="77777777" w:rsidR="00067510" w:rsidRPr="008828F1" w:rsidRDefault="00067510" w:rsidP="00067510">
      <w:pPr>
        <w:spacing w:after="0"/>
      </w:pPr>
    </w:p>
    <w:p w14:paraId="3C213545" w14:textId="30542957" w:rsidR="008828F1" w:rsidRPr="008828F1" w:rsidRDefault="003818FE" w:rsidP="003818FE">
      <w:pPr>
        <w:pStyle w:val="ListParagraph"/>
        <w:numPr>
          <w:ilvl w:val="0"/>
          <w:numId w:val="10"/>
        </w:numPr>
        <w:spacing w:after="0" w:line="240" w:lineRule="auto"/>
        <w:contextualSpacing w:val="0"/>
        <w:rPr>
          <w:b/>
          <w:bCs/>
          <w:sz w:val="28"/>
          <w:szCs w:val="28"/>
        </w:rPr>
      </w:pPr>
      <w:r>
        <w:rPr>
          <w:b/>
          <w:bCs/>
          <w:sz w:val="28"/>
          <w:szCs w:val="28"/>
        </w:rPr>
        <w:t>T</w:t>
      </w:r>
      <w:r w:rsidR="008828F1" w:rsidRPr="008828F1">
        <w:rPr>
          <w:b/>
          <w:bCs/>
          <w:sz w:val="28"/>
          <w:szCs w:val="28"/>
        </w:rPr>
        <w:t xml:space="preserve">rustees </w:t>
      </w:r>
      <w:r>
        <w:rPr>
          <w:b/>
          <w:bCs/>
          <w:sz w:val="28"/>
          <w:szCs w:val="28"/>
        </w:rPr>
        <w:t>C</w:t>
      </w:r>
      <w:r w:rsidR="008828F1" w:rsidRPr="008828F1">
        <w:rPr>
          <w:b/>
          <w:bCs/>
          <w:sz w:val="28"/>
          <w:szCs w:val="28"/>
        </w:rPr>
        <w:t xml:space="preserve">onduct </w:t>
      </w:r>
    </w:p>
    <w:p w14:paraId="144B3B82" w14:textId="77777777" w:rsidR="003818FE" w:rsidRDefault="003818FE" w:rsidP="003818FE">
      <w:pPr>
        <w:spacing w:after="0"/>
      </w:pPr>
    </w:p>
    <w:p w14:paraId="61056C22" w14:textId="472F4E5A" w:rsidR="008828F1" w:rsidRPr="002A36F9" w:rsidRDefault="00067510" w:rsidP="003818FE">
      <w:pPr>
        <w:rPr>
          <w:b/>
          <w:bCs/>
        </w:rPr>
      </w:pPr>
      <w:r>
        <w:t xml:space="preserve">All </w:t>
      </w:r>
      <w:r w:rsidR="0081327B">
        <w:t>t</w:t>
      </w:r>
      <w:r w:rsidR="008828F1" w:rsidRPr="008828F1">
        <w:t xml:space="preserve">rustees are expected to conduct themselves in a manner that reflects positively on </w:t>
      </w:r>
      <w:r w:rsidR="003818FE">
        <w:t>t</w:t>
      </w:r>
      <w:r w:rsidR="008828F1" w:rsidRPr="008828F1">
        <w:t>he</w:t>
      </w:r>
      <w:r w:rsidR="003818FE">
        <w:t xml:space="preserve">mselves and the organisation </w:t>
      </w:r>
      <w:r w:rsidR="008828F1" w:rsidRPr="008828F1">
        <w:t xml:space="preserve">and not to conduct themselves in any way that could reasonably be regarded as bringing their office or the </w:t>
      </w:r>
      <w:r w:rsidR="005351D8">
        <w:t>organisation</w:t>
      </w:r>
      <w:r w:rsidR="008828F1" w:rsidRPr="008828F1">
        <w:t xml:space="preserve"> into disrepute. </w:t>
      </w:r>
      <w:r w:rsidR="00063282">
        <w:t xml:space="preserve">The Nolan Principles </w:t>
      </w:r>
      <w:r w:rsidR="008C6A23">
        <w:t>and</w:t>
      </w:r>
      <w:r w:rsidR="00054A88">
        <w:t xml:space="preserve"> the Charity </w:t>
      </w:r>
      <w:r w:rsidR="002A36F9">
        <w:t>C</w:t>
      </w:r>
      <w:r w:rsidR="00054A88">
        <w:t>ommission guidance</w:t>
      </w:r>
      <w:r w:rsidR="008C6A23">
        <w:t xml:space="preserve"> sets the standard and </w:t>
      </w:r>
      <w:r w:rsidR="008C6A23" w:rsidRPr="002A36F9">
        <w:rPr>
          <w:b/>
          <w:bCs/>
        </w:rPr>
        <w:t>these should be read an</w:t>
      </w:r>
      <w:r w:rsidR="002A36F9" w:rsidRPr="002A36F9">
        <w:rPr>
          <w:b/>
          <w:bCs/>
        </w:rPr>
        <w:t>d</w:t>
      </w:r>
      <w:r w:rsidR="008C6A23" w:rsidRPr="002A36F9">
        <w:rPr>
          <w:b/>
          <w:bCs/>
        </w:rPr>
        <w:t xml:space="preserve"> understood by all trustees</w:t>
      </w:r>
      <w:r w:rsidR="00B555C9" w:rsidRPr="002A36F9">
        <w:rPr>
          <w:b/>
          <w:bCs/>
        </w:rPr>
        <w:t xml:space="preserve"> and followed at all times</w:t>
      </w:r>
      <w:r w:rsidR="008C6A23" w:rsidRPr="002A36F9">
        <w:rPr>
          <w:b/>
          <w:bCs/>
        </w:rPr>
        <w:t>.</w:t>
      </w:r>
    </w:p>
    <w:p w14:paraId="4FA2044A" w14:textId="3AB5DA8B" w:rsidR="00054A88" w:rsidRPr="002A36F9" w:rsidRDefault="00A72136" w:rsidP="003818FE">
      <w:pPr>
        <w:rPr>
          <w:b/>
          <w:bCs/>
        </w:rPr>
      </w:pPr>
      <w:hyperlink r:id="rId12" w:history="1">
        <w:r w:rsidRPr="002A36F9">
          <w:rPr>
            <w:rStyle w:val="Hyperlink"/>
            <w:b/>
            <w:bCs/>
          </w:rPr>
          <w:t>https://www.gov.uk/government/publications/the-7-principles-of-public-life</w:t>
        </w:r>
      </w:hyperlink>
    </w:p>
    <w:p w14:paraId="3237D94A" w14:textId="02D0DF6F" w:rsidR="00A72136" w:rsidRPr="002A36F9" w:rsidRDefault="00D81ACB" w:rsidP="003818FE">
      <w:pPr>
        <w:rPr>
          <w:b/>
          <w:bCs/>
        </w:rPr>
      </w:pPr>
      <w:hyperlink r:id="rId13" w:history="1">
        <w:r w:rsidRPr="002A36F9">
          <w:rPr>
            <w:rStyle w:val="Hyperlink"/>
            <w:b/>
            <w:bCs/>
          </w:rPr>
          <w:t>https://www.gov.uk/government/publications/the-essential-trustee-what-you-need-to-know-cc3</w:t>
        </w:r>
      </w:hyperlink>
    </w:p>
    <w:p w14:paraId="28124CEA" w14:textId="7A6A8F64" w:rsidR="008828F1" w:rsidRPr="008828F1" w:rsidRDefault="00A8311D" w:rsidP="003818FE">
      <w:r>
        <w:t>Specifically</w:t>
      </w:r>
      <w:r w:rsidR="008828F1" w:rsidRPr="008828F1">
        <w:t xml:space="preserve">, </w:t>
      </w:r>
      <w:r w:rsidR="00B555C9">
        <w:t>t</w:t>
      </w:r>
      <w:r w:rsidR="008828F1" w:rsidRPr="008828F1">
        <w:t xml:space="preserve">rustees must: </w:t>
      </w:r>
    </w:p>
    <w:p w14:paraId="091C59BA" w14:textId="77777777" w:rsidR="00565A3D" w:rsidRDefault="00B46ADD" w:rsidP="00E22E2E">
      <w:pPr>
        <w:pStyle w:val="ListParagraph"/>
        <w:numPr>
          <w:ilvl w:val="0"/>
          <w:numId w:val="13"/>
        </w:numPr>
      </w:pPr>
      <w:r>
        <w:t xml:space="preserve">Respond promptly to all </w:t>
      </w:r>
      <w:r w:rsidR="00C13CC2">
        <w:t>communications requiring a response, such as meeting requests or decisions in</w:t>
      </w:r>
      <w:r w:rsidR="00565A3D">
        <w:t xml:space="preserve"> between meetings.</w:t>
      </w:r>
    </w:p>
    <w:p w14:paraId="611D6A73" w14:textId="61BF6B1C" w:rsidR="008828F1" w:rsidRPr="008828F1" w:rsidRDefault="00104C72" w:rsidP="00E22E2E">
      <w:pPr>
        <w:pStyle w:val="ListParagraph"/>
        <w:numPr>
          <w:ilvl w:val="0"/>
          <w:numId w:val="13"/>
        </w:numPr>
      </w:pPr>
      <w:r>
        <w:t>A</w:t>
      </w:r>
      <w:r w:rsidR="008828F1" w:rsidRPr="008828F1">
        <w:t>ttend meetings and other appointments or give</w:t>
      </w:r>
      <w:r>
        <w:t xml:space="preserve"> their</w:t>
      </w:r>
      <w:r w:rsidR="008828F1" w:rsidRPr="008828F1">
        <w:t xml:space="preserve"> apologies</w:t>
      </w:r>
      <w:r>
        <w:t xml:space="preserve">. A poor record of attendance should be </w:t>
      </w:r>
      <w:r w:rsidR="00CF4096">
        <w:t>addressed by the Chair if it arises</w:t>
      </w:r>
      <w:r w:rsidR="007A6098">
        <w:t xml:space="preserve"> or by the Vice Chair </w:t>
      </w:r>
      <w:r w:rsidR="002079D0">
        <w:t xml:space="preserve">or Board </w:t>
      </w:r>
      <w:r w:rsidR="007A6098">
        <w:t>if it is the Chair</w:t>
      </w:r>
      <w:r w:rsidR="00607F5C">
        <w:t xml:space="preserve"> themselves whose attendance is below </w:t>
      </w:r>
      <w:r w:rsidR="002079D0">
        <w:t>expectations</w:t>
      </w:r>
      <w:r w:rsidR="00607F5C">
        <w:t>.</w:t>
      </w:r>
      <w:r w:rsidR="008828F1" w:rsidRPr="008828F1">
        <w:t xml:space="preserve"> </w:t>
      </w:r>
    </w:p>
    <w:p w14:paraId="40899585" w14:textId="05E8EE64" w:rsidR="008828F1" w:rsidRPr="008828F1" w:rsidRDefault="00CF4096" w:rsidP="00E22E2E">
      <w:pPr>
        <w:pStyle w:val="ListParagraph"/>
        <w:numPr>
          <w:ilvl w:val="0"/>
          <w:numId w:val="13"/>
        </w:numPr>
      </w:pPr>
      <w:r>
        <w:t>P</w:t>
      </w:r>
      <w:r w:rsidR="008828F1" w:rsidRPr="008828F1">
        <w:t xml:space="preserve">repare fully for meetings and all work for the </w:t>
      </w:r>
      <w:r>
        <w:t>organisation</w:t>
      </w:r>
      <w:r w:rsidR="008828F1" w:rsidRPr="008828F1">
        <w:t>, reading papers</w:t>
      </w:r>
      <w:r w:rsidR="002079D0">
        <w:t>,</w:t>
      </w:r>
      <w:r w:rsidR="008828F1" w:rsidRPr="008828F1">
        <w:t xml:space="preserve"> querying anything not understood and thinking through issues in good time before meetings</w:t>
      </w:r>
      <w:r>
        <w:t>.</w:t>
      </w:r>
      <w:r w:rsidR="008828F1" w:rsidRPr="008828F1">
        <w:t xml:space="preserve"> </w:t>
      </w:r>
    </w:p>
    <w:p w14:paraId="7939DDB0" w14:textId="1E168164" w:rsidR="008828F1" w:rsidRPr="008828F1" w:rsidRDefault="00063282" w:rsidP="00E22E2E">
      <w:pPr>
        <w:pStyle w:val="ListParagraph"/>
        <w:numPr>
          <w:ilvl w:val="0"/>
          <w:numId w:val="13"/>
        </w:numPr>
      </w:pPr>
      <w:r>
        <w:t>A</w:t>
      </w:r>
      <w:r w:rsidR="008828F1" w:rsidRPr="008828F1">
        <w:t>ctively engage in discussions, debate and voting in meetings</w:t>
      </w:r>
      <w:r w:rsidR="002079D0">
        <w:t xml:space="preserve"> when requested</w:t>
      </w:r>
      <w:r>
        <w:t>.</w:t>
      </w:r>
      <w:r w:rsidR="008828F1" w:rsidRPr="008828F1">
        <w:t xml:space="preserve"> </w:t>
      </w:r>
    </w:p>
    <w:p w14:paraId="3BFAA8FE" w14:textId="2F0975E4" w:rsidR="008828F1" w:rsidRPr="008828F1" w:rsidRDefault="00063282" w:rsidP="00E22E2E">
      <w:pPr>
        <w:pStyle w:val="ListParagraph"/>
        <w:numPr>
          <w:ilvl w:val="0"/>
          <w:numId w:val="13"/>
        </w:numPr>
      </w:pPr>
      <w:r>
        <w:t>A</w:t>
      </w:r>
      <w:r w:rsidR="008828F1" w:rsidRPr="008828F1">
        <w:t xml:space="preserve">ct in the best interests of the </w:t>
      </w:r>
      <w:r w:rsidR="002079D0">
        <w:t>organisation</w:t>
      </w:r>
      <w:r w:rsidR="008828F1" w:rsidRPr="008828F1">
        <w:t xml:space="preserve"> at all times</w:t>
      </w:r>
      <w:r w:rsidR="00CC00DB">
        <w:t>.</w:t>
      </w:r>
      <w:r w:rsidR="008828F1" w:rsidRPr="008828F1">
        <w:t xml:space="preserve"> </w:t>
      </w:r>
    </w:p>
    <w:p w14:paraId="1A31DC16" w14:textId="29734E85" w:rsidR="008828F1" w:rsidRPr="008828F1" w:rsidRDefault="002079D0" w:rsidP="00E22E2E">
      <w:pPr>
        <w:pStyle w:val="ListParagraph"/>
        <w:numPr>
          <w:ilvl w:val="0"/>
          <w:numId w:val="13"/>
        </w:numPr>
      </w:pPr>
      <w:r>
        <w:t>B</w:t>
      </w:r>
      <w:r w:rsidR="008828F1" w:rsidRPr="008828F1">
        <w:t>e loyal, ethical, honest and act with integrity and probity</w:t>
      </w:r>
      <w:r w:rsidR="00CC00DB">
        <w:t>.</w:t>
      </w:r>
    </w:p>
    <w:p w14:paraId="05D4FA3C" w14:textId="26A450B5" w:rsidR="008828F1" w:rsidRPr="008828F1" w:rsidRDefault="002079D0" w:rsidP="00E22E2E">
      <w:pPr>
        <w:pStyle w:val="ListParagraph"/>
        <w:numPr>
          <w:ilvl w:val="0"/>
          <w:numId w:val="13"/>
        </w:numPr>
      </w:pPr>
      <w:r>
        <w:t>A</w:t>
      </w:r>
      <w:r w:rsidR="008828F1" w:rsidRPr="008828F1">
        <w:t xml:space="preserve">dhere to the </w:t>
      </w:r>
      <w:r>
        <w:t>organisation’s</w:t>
      </w:r>
      <w:r w:rsidR="008828F1" w:rsidRPr="008828F1">
        <w:t xml:space="preserve"> values and support the Chair and Chief Executive in instilling the appropriate culture, values and behaviours in the boardroom and beyond</w:t>
      </w:r>
      <w:r w:rsidR="00CC00DB">
        <w:t>.</w:t>
      </w:r>
      <w:r w:rsidR="008828F1" w:rsidRPr="008828F1">
        <w:t xml:space="preserve"> </w:t>
      </w:r>
    </w:p>
    <w:p w14:paraId="569072CA" w14:textId="5C77A4D9" w:rsidR="008828F1" w:rsidRPr="008828F1" w:rsidRDefault="00751609" w:rsidP="00E22E2E">
      <w:pPr>
        <w:pStyle w:val="ListParagraph"/>
        <w:numPr>
          <w:ilvl w:val="0"/>
          <w:numId w:val="13"/>
        </w:numPr>
      </w:pPr>
      <w:r>
        <w:t>R</w:t>
      </w:r>
      <w:r w:rsidR="008828F1" w:rsidRPr="008828F1">
        <w:t>espect others and treat them with dignity and fairness</w:t>
      </w:r>
      <w:r w:rsidR="00CC00DB">
        <w:t>.</w:t>
      </w:r>
    </w:p>
    <w:p w14:paraId="7E90828D" w14:textId="1C4B94A6" w:rsidR="008828F1" w:rsidRPr="008828F1" w:rsidRDefault="00751609" w:rsidP="00E22E2E">
      <w:pPr>
        <w:pStyle w:val="ListParagraph"/>
        <w:numPr>
          <w:ilvl w:val="0"/>
          <w:numId w:val="13"/>
        </w:numPr>
      </w:pPr>
      <w:r>
        <w:t>R</w:t>
      </w:r>
      <w:r w:rsidR="008828F1" w:rsidRPr="008828F1">
        <w:t>espect confidentiality</w:t>
      </w:r>
      <w:r w:rsidR="00565A3D">
        <w:t>, GDPR</w:t>
      </w:r>
      <w:r w:rsidR="008828F1" w:rsidRPr="008828F1">
        <w:t xml:space="preserve"> </w:t>
      </w:r>
      <w:r w:rsidR="00565A3D">
        <w:t>and data protection</w:t>
      </w:r>
      <w:r w:rsidR="002368D0">
        <w:t>,</w:t>
      </w:r>
      <w:r w:rsidR="008828F1" w:rsidRPr="008828F1">
        <w:t xml:space="preserve"> understanding what </w:t>
      </w:r>
      <w:r w:rsidR="002368D0">
        <w:t>this</w:t>
      </w:r>
      <w:r w:rsidR="008828F1" w:rsidRPr="008828F1">
        <w:t xml:space="preserve"> means in practice for the </w:t>
      </w:r>
      <w:r>
        <w:t>organisation</w:t>
      </w:r>
      <w:r w:rsidR="008828F1" w:rsidRPr="008828F1">
        <w:t>, its board and the individuals involved with it</w:t>
      </w:r>
      <w:r w:rsidR="00CC00DB">
        <w:t>.</w:t>
      </w:r>
    </w:p>
    <w:p w14:paraId="102DC106" w14:textId="77777777" w:rsidR="00CC00DB" w:rsidRDefault="00CC00DB" w:rsidP="00E22E2E">
      <w:pPr>
        <w:pStyle w:val="ListParagraph"/>
        <w:numPr>
          <w:ilvl w:val="0"/>
          <w:numId w:val="13"/>
        </w:numPr>
      </w:pPr>
      <w:r>
        <w:t>H</w:t>
      </w:r>
      <w:r w:rsidR="008828F1" w:rsidRPr="008828F1">
        <w:t xml:space="preserve">ave a sound and up-to-date knowledge of the </w:t>
      </w:r>
      <w:r>
        <w:t>organisation</w:t>
      </w:r>
      <w:r w:rsidR="008828F1" w:rsidRPr="008828F1">
        <w:t xml:space="preserve"> and its environment</w:t>
      </w:r>
      <w:r>
        <w:t>.</w:t>
      </w:r>
    </w:p>
    <w:p w14:paraId="12AB8F70" w14:textId="75E530D9" w:rsidR="008828F1" w:rsidRPr="008828F1" w:rsidRDefault="00CC00DB" w:rsidP="00E22E2E">
      <w:pPr>
        <w:pStyle w:val="ListParagraph"/>
        <w:numPr>
          <w:ilvl w:val="0"/>
          <w:numId w:val="13"/>
        </w:numPr>
      </w:pPr>
      <w:r>
        <w:lastRenderedPageBreak/>
        <w:t>S</w:t>
      </w:r>
      <w:r w:rsidR="008828F1" w:rsidRPr="008828F1">
        <w:t xml:space="preserve">eek to ensure that no one is unlawfully discriminated against and promote equal opportunities and social inclusion in accordance with the </w:t>
      </w:r>
      <w:r>
        <w:t>organisation’s</w:t>
      </w:r>
      <w:r w:rsidR="008828F1" w:rsidRPr="008828F1">
        <w:t xml:space="preserve"> </w:t>
      </w:r>
      <w:r>
        <w:t>p</w:t>
      </w:r>
      <w:r w:rsidR="008828F1" w:rsidRPr="008828F1">
        <w:t>olic</w:t>
      </w:r>
      <w:r>
        <w:t>ies, best practice</w:t>
      </w:r>
      <w:r w:rsidR="008828F1" w:rsidRPr="008828F1">
        <w:t xml:space="preserve"> </w:t>
      </w:r>
      <w:r>
        <w:t>and the law.</w:t>
      </w:r>
    </w:p>
    <w:p w14:paraId="5AAA6F89" w14:textId="55CD0C3A" w:rsidR="008828F1" w:rsidRPr="008828F1" w:rsidRDefault="00CC00DB" w:rsidP="00E22E2E">
      <w:pPr>
        <w:pStyle w:val="ListParagraph"/>
        <w:numPr>
          <w:ilvl w:val="0"/>
          <w:numId w:val="13"/>
        </w:numPr>
      </w:pPr>
      <w:r>
        <w:t>R</w:t>
      </w:r>
      <w:r w:rsidR="008828F1" w:rsidRPr="008828F1">
        <w:t xml:space="preserve">ecognise that the Board is collectively responsible for the exercise of its powers and the performance of the </w:t>
      </w:r>
      <w:r>
        <w:t>organisation.</w:t>
      </w:r>
      <w:r w:rsidR="008828F1" w:rsidRPr="008828F1">
        <w:t xml:space="preserve"> </w:t>
      </w:r>
    </w:p>
    <w:p w14:paraId="7A62E733" w14:textId="02E97E8C" w:rsidR="008828F1" w:rsidRPr="008828F1" w:rsidRDefault="00CC00DB" w:rsidP="00E22E2E">
      <w:pPr>
        <w:pStyle w:val="ListParagraph"/>
        <w:numPr>
          <w:ilvl w:val="0"/>
          <w:numId w:val="13"/>
        </w:numPr>
      </w:pPr>
      <w:r>
        <w:t>R</w:t>
      </w:r>
      <w:r w:rsidR="008828F1" w:rsidRPr="008828F1">
        <w:t xml:space="preserve">aise concerns and provide constructive challenge regarding the management and operation of the </w:t>
      </w:r>
      <w:r w:rsidR="008435CB">
        <w:t>organisation</w:t>
      </w:r>
      <w:r w:rsidR="008828F1" w:rsidRPr="008828F1">
        <w:t>, where appropriate</w:t>
      </w:r>
      <w:r>
        <w:t>.</w:t>
      </w:r>
    </w:p>
    <w:p w14:paraId="787A7BEF" w14:textId="7DE5CFF2" w:rsidR="008828F1" w:rsidRPr="008828F1" w:rsidRDefault="00CC00DB" w:rsidP="00E22E2E">
      <w:pPr>
        <w:pStyle w:val="ListParagraph"/>
        <w:numPr>
          <w:ilvl w:val="0"/>
          <w:numId w:val="13"/>
        </w:numPr>
      </w:pPr>
      <w:r>
        <w:t>T</w:t>
      </w:r>
      <w:r w:rsidR="008828F1" w:rsidRPr="008828F1">
        <w:t>ake and consider advice on issues where appropriate</w:t>
      </w:r>
      <w:r w:rsidR="00B46ADD">
        <w:t>.</w:t>
      </w:r>
      <w:r w:rsidR="008828F1" w:rsidRPr="008828F1">
        <w:t xml:space="preserve"> </w:t>
      </w:r>
    </w:p>
    <w:p w14:paraId="0DF17D1C" w14:textId="2053A486" w:rsidR="008828F1" w:rsidRPr="008828F1" w:rsidRDefault="00B46ADD" w:rsidP="00E22E2E">
      <w:pPr>
        <w:pStyle w:val="ListParagraph"/>
        <w:numPr>
          <w:ilvl w:val="0"/>
          <w:numId w:val="13"/>
        </w:numPr>
      </w:pPr>
      <w:r>
        <w:t>N</w:t>
      </w:r>
      <w:r w:rsidR="008828F1" w:rsidRPr="008828F1">
        <w:t>ot use their position for personal advantage or seek to gain preferential treatment for themselves, their family or their friends</w:t>
      </w:r>
      <w:r>
        <w:t>,</w:t>
      </w:r>
      <w:r w:rsidR="008828F1" w:rsidRPr="008828F1">
        <w:t xml:space="preserve"> nor seek improperly to confer disadvantage on any other person</w:t>
      </w:r>
      <w:r>
        <w:t>.</w:t>
      </w:r>
    </w:p>
    <w:p w14:paraId="04594343" w14:textId="3695F6F6" w:rsidR="008828F1" w:rsidRPr="008828F1" w:rsidRDefault="00B46ADD" w:rsidP="00E22E2E">
      <w:pPr>
        <w:pStyle w:val="ListParagraph"/>
        <w:numPr>
          <w:ilvl w:val="0"/>
          <w:numId w:val="13"/>
        </w:numPr>
      </w:pPr>
      <w:r>
        <w:t>N</w:t>
      </w:r>
      <w:r w:rsidR="008828F1" w:rsidRPr="008828F1">
        <w:t xml:space="preserve">ot place themselves under any financial or other obligation to outside individuals or </w:t>
      </w:r>
      <w:r>
        <w:t>organisations</w:t>
      </w:r>
      <w:r w:rsidR="008828F1" w:rsidRPr="008828F1">
        <w:t xml:space="preserve"> that might seek to influence them in the performance of their Board duties</w:t>
      </w:r>
      <w:r>
        <w:t>.</w:t>
      </w:r>
    </w:p>
    <w:p w14:paraId="6F761BA2" w14:textId="3CD5FB6D" w:rsidR="008828F1" w:rsidRDefault="00B46ADD" w:rsidP="00E22E2E">
      <w:pPr>
        <w:pStyle w:val="ListParagraph"/>
        <w:numPr>
          <w:ilvl w:val="0"/>
          <w:numId w:val="13"/>
        </w:numPr>
      </w:pPr>
      <w:r>
        <w:t>A</w:t>
      </w:r>
      <w:r w:rsidR="008828F1" w:rsidRPr="008828F1">
        <w:t xml:space="preserve">ccept responsibility for their own performance, learning and development. </w:t>
      </w:r>
    </w:p>
    <w:p w14:paraId="0422CE7D" w14:textId="77777777" w:rsidR="00E22E2E" w:rsidRPr="008828F1" w:rsidRDefault="00E22E2E" w:rsidP="00E22E2E">
      <w:pPr>
        <w:pStyle w:val="ListParagraph"/>
      </w:pPr>
    </w:p>
    <w:p w14:paraId="64254E01" w14:textId="3508ACED" w:rsidR="008828F1" w:rsidRDefault="008828F1" w:rsidP="00E22E2E">
      <w:pPr>
        <w:pStyle w:val="ListParagraph"/>
        <w:numPr>
          <w:ilvl w:val="0"/>
          <w:numId w:val="10"/>
        </w:numPr>
        <w:spacing w:after="0" w:line="240" w:lineRule="auto"/>
        <w:contextualSpacing w:val="0"/>
        <w:rPr>
          <w:b/>
          <w:bCs/>
          <w:sz w:val="28"/>
          <w:szCs w:val="28"/>
        </w:rPr>
      </w:pPr>
      <w:r w:rsidRPr="00E22E2E">
        <w:rPr>
          <w:b/>
          <w:bCs/>
          <w:sz w:val="28"/>
          <w:szCs w:val="28"/>
        </w:rPr>
        <w:t xml:space="preserve">Fit and proper person </w:t>
      </w:r>
    </w:p>
    <w:p w14:paraId="4585310C" w14:textId="77777777" w:rsidR="00E22E2E" w:rsidRPr="00E22E2E" w:rsidRDefault="00E22E2E" w:rsidP="00E22E2E">
      <w:pPr>
        <w:spacing w:after="0" w:line="240" w:lineRule="auto"/>
        <w:rPr>
          <w:b/>
          <w:bCs/>
          <w:sz w:val="28"/>
          <w:szCs w:val="28"/>
        </w:rPr>
      </w:pPr>
    </w:p>
    <w:p w14:paraId="062E5CCD" w14:textId="77777777" w:rsidR="008828F1" w:rsidRPr="00D6627D" w:rsidRDefault="008828F1" w:rsidP="00D6627D">
      <w:r w:rsidRPr="00D6627D">
        <w:t xml:space="preserve">All Trustees are required to complete and comply with the Charity Commission’s ‘Charity trustee: declaration of eligibility and responsibility’. Trustees must certify on appointment, and upon each term reappointment, that they are/remain a fit and proper person. </w:t>
      </w:r>
    </w:p>
    <w:p w14:paraId="3BAACF2F" w14:textId="77777777" w:rsidR="008828F1" w:rsidRDefault="008828F1" w:rsidP="00D6627D">
      <w:r w:rsidRPr="00D6627D">
        <w:t xml:space="preserve">If circumstances change so that a Trustees can no longer be regarded as a fit and proper person or if it comes to light that a Trustee is not a fit and proper person, they will be suspended from being a Trustee with immediate effect pending confirmation and any appeal. Where it is confirmed that a Trustee is no longer a fit and proper person, their position as a Trustee will be terminated. </w:t>
      </w:r>
    </w:p>
    <w:p w14:paraId="326E8E57" w14:textId="77777777" w:rsidR="00D6627D" w:rsidRPr="00D6627D" w:rsidRDefault="00D6627D" w:rsidP="00D6627D">
      <w:pPr>
        <w:spacing w:after="0"/>
      </w:pPr>
    </w:p>
    <w:p w14:paraId="22DB0615" w14:textId="7D49FD9F" w:rsidR="008828F1" w:rsidRDefault="008828F1" w:rsidP="00D6627D">
      <w:pPr>
        <w:pStyle w:val="ListParagraph"/>
        <w:numPr>
          <w:ilvl w:val="0"/>
          <w:numId w:val="10"/>
        </w:numPr>
        <w:spacing w:after="0" w:line="240" w:lineRule="auto"/>
        <w:contextualSpacing w:val="0"/>
        <w:rPr>
          <w:b/>
          <w:bCs/>
          <w:sz w:val="28"/>
          <w:szCs w:val="28"/>
        </w:rPr>
      </w:pPr>
      <w:r w:rsidRPr="00D6627D">
        <w:rPr>
          <w:b/>
          <w:bCs/>
          <w:sz w:val="28"/>
          <w:szCs w:val="28"/>
        </w:rPr>
        <w:t xml:space="preserve">Conflicts of interest </w:t>
      </w:r>
    </w:p>
    <w:p w14:paraId="263D60E6" w14:textId="77777777" w:rsidR="00D6627D" w:rsidRPr="00D6627D" w:rsidRDefault="00D6627D" w:rsidP="00D6627D">
      <w:pPr>
        <w:pStyle w:val="ListParagraph"/>
        <w:spacing w:after="0" w:line="240" w:lineRule="auto"/>
        <w:contextualSpacing w:val="0"/>
        <w:rPr>
          <w:b/>
          <w:bCs/>
          <w:sz w:val="28"/>
          <w:szCs w:val="28"/>
        </w:rPr>
      </w:pPr>
    </w:p>
    <w:p w14:paraId="47851C76" w14:textId="4211045A" w:rsidR="008828F1" w:rsidRPr="00D6627D" w:rsidRDefault="008828F1" w:rsidP="00D6627D">
      <w:r w:rsidRPr="00D6627D">
        <w:t xml:space="preserve">Trustees have a duty to avoid a situation in which they have or could have a direct or indirect interest that conflicts (or possibly may conflict) with the interests of </w:t>
      </w:r>
      <w:r w:rsidR="00E844E1">
        <w:t>the organisation</w:t>
      </w:r>
      <w:r w:rsidRPr="00D6627D">
        <w:t xml:space="preserve">. Trustees have a further duty not to accept a benefit from a third party by reason of being a Trustee or doing (or not doing) anything in that capacity. </w:t>
      </w:r>
    </w:p>
    <w:p w14:paraId="58A1A39F" w14:textId="04AA97FC" w:rsidR="008828F1" w:rsidRPr="00D6627D" w:rsidRDefault="008828F1" w:rsidP="00D6627D">
      <w:r w:rsidRPr="00D6627D">
        <w:t>Trustees are required to record all relevant interests in the</w:t>
      </w:r>
      <w:r w:rsidR="00E844E1">
        <w:t xml:space="preserve"> minutes of the Board meetings or in a</w:t>
      </w:r>
      <w:r w:rsidRPr="00D6627D">
        <w:t xml:space="preserve"> register of interests </w:t>
      </w:r>
      <w:r w:rsidR="00E844E1">
        <w:t>if one is necessary</w:t>
      </w:r>
      <w:r w:rsidRPr="00D6627D">
        <w:t xml:space="preserve">. It is the responsibility of each </w:t>
      </w:r>
      <w:r w:rsidR="005C366E">
        <w:t>t</w:t>
      </w:r>
      <w:r w:rsidRPr="00D6627D">
        <w:t xml:space="preserve">rustee to provide an update if their interests change. </w:t>
      </w:r>
    </w:p>
    <w:p w14:paraId="4C0EF2E9" w14:textId="05227DFC" w:rsidR="008828F1" w:rsidRPr="00D6627D" w:rsidRDefault="008828F1" w:rsidP="00D6627D">
      <w:r w:rsidRPr="00D6627D">
        <w:t xml:space="preserve">If a </w:t>
      </w:r>
      <w:r w:rsidR="005C366E">
        <w:t>t</w:t>
      </w:r>
      <w:r w:rsidRPr="00D6627D">
        <w:t xml:space="preserve">rustee has, in any way, a direct or indirect interest in a proposed transaction or arrangement with the </w:t>
      </w:r>
      <w:r w:rsidR="005C366E">
        <w:t>organisation</w:t>
      </w:r>
      <w:r w:rsidRPr="00D6627D">
        <w:t xml:space="preserve">, the </w:t>
      </w:r>
      <w:r w:rsidR="005C366E">
        <w:t>t</w:t>
      </w:r>
      <w:r w:rsidRPr="00D6627D">
        <w:t xml:space="preserve">rustee must declare the nature and extent of that interest to the other </w:t>
      </w:r>
      <w:r w:rsidR="005C366E">
        <w:t>t</w:t>
      </w:r>
      <w:r w:rsidRPr="00D6627D">
        <w:t xml:space="preserve">rustees at the earliest opportunity. If such a declaration proves to be, or becomes, inaccurate </w:t>
      </w:r>
      <w:r w:rsidRPr="00D6627D">
        <w:lastRenderedPageBreak/>
        <w:t xml:space="preserve">or incomplete, a further declaration must be made. Any such declaration must be made as soon as possible and before the </w:t>
      </w:r>
      <w:r w:rsidR="005C366E">
        <w:t>organisation</w:t>
      </w:r>
      <w:r w:rsidRPr="00D6627D">
        <w:t xml:space="preserve"> enters into the transaction or arrangement. </w:t>
      </w:r>
    </w:p>
    <w:p w14:paraId="7489C0EA" w14:textId="3D94199B" w:rsidR="008828F1" w:rsidRDefault="008828F1" w:rsidP="00D6627D">
      <w:r w:rsidRPr="00D6627D">
        <w:t xml:space="preserve">The Chair </w:t>
      </w:r>
      <w:r w:rsidR="00521DAF">
        <w:t xml:space="preserve">or Chief Executive </w:t>
      </w:r>
      <w:r w:rsidRPr="00D6627D">
        <w:t xml:space="preserve">will advise </w:t>
      </w:r>
      <w:r w:rsidR="00521DAF">
        <w:t>tr</w:t>
      </w:r>
      <w:r w:rsidRPr="00D6627D">
        <w:t xml:space="preserve">ustees in respect of any conflicts of interest that arise during Board meetings, including whether the interest is such that the </w:t>
      </w:r>
      <w:r w:rsidR="00521DAF">
        <w:t>t</w:t>
      </w:r>
      <w:r w:rsidRPr="00D6627D">
        <w:t xml:space="preserve">rustee should withdraw from the meeting for the period of the discussion. In the event of disagreement, it is for the Board to decide whether a Trustee must withdraw from the meeting. </w:t>
      </w:r>
    </w:p>
    <w:p w14:paraId="0B15D028" w14:textId="77777777" w:rsidR="0005415B" w:rsidRPr="00D6627D" w:rsidRDefault="0005415B" w:rsidP="0005415B">
      <w:pPr>
        <w:spacing w:after="0"/>
      </w:pPr>
    </w:p>
    <w:p w14:paraId="63BABCE7" w14:textId="1593AC7B" w:rsidR="008828F1" w:rsidRPr="0005415B" w:rsidRDefault="008828F1" w:rsidP="0005415B">
      <w:pPr>
        <w:pStyle w:val="ListParagraph"/>
        <w:numPr>
          <w:ilvl w:val="0"/>
          <w:numId w:val="10"/>
        </w:numPr>
        <w:spacing w:after="0" w:line="240" w:lineRule="auto"/>
        <w:contextualSpacing w:val="0"/>
        <w:rPr>
          <w:b/>
          <w:bCs/>
          <w:sz w:val="28"/>
          <w:szCs w:val="28"/>
        </w:rPr>
      </w:pPr>
      <w:r w:rsidRPr="0005415B">
        <w:rPr>
          <w:b/>
          <w:bCs/>
          <w:sz w:val="28"/>
          <w:szCs w:val="28"/>
        </w:rPr>
        <w:t xml:space="preserve">Gifts and hospitality </w:t>
      </w:r>
    </w:p>
    <w:p w14:paraId="343F5EA8" w14:textId="77777777" w:rsidR="0005415B" w:rsidRDefault="0005415B" w:rsidP="0005415B">
      <w:pPr>
        <w:spacing w:after="0"/>
      </w:pPr>
    </w:p>
    <w:p w14:paraId="75353A80" w14:textId="39F872AB" w:rsidR="00E72517" w:rsidRDefault="008828F1" w:rsidP="0005415B">
      <w:r w:rsidRPr="0005415B">
        <w:t xml:space="preserve">The Board will set an example in the use of its funds and the need for good value, particularly with respect to public funds and donations, when incurring expenditure. The use of the </w:t>
      </w:r>
      <w:r w:rsidR="0005415B">
        <w:t>organisation</w:t>
      </w:r>
      <w:r w:rsidRPr="0005415B">
        <w:t xml:space="preserve"> funds for</w:t>
      </w:r>
      <w:r w:rsidR="0005415B">
        <w:t xml:space="preserve"> </w:t>
      </w:r>
      <w:r w:rsidR="00E72517" w:rsidRPr="0005415B">
        <w:t xml:space="preserve">hospitality and entertainment will be carefully considered. All expenditure on these items should be transparent and capable of justification in light of the </w:t>
      </w:r>
      <w:r w:rsidR="00A31248">
        <w:t>organisation’s charitable and</w:t>
      </w:r>
      <w:r w:rsidR="00E72517" w:rsidRPr="0005415B">
        <w:t xml:space="preserve"> business objectives. </w:t>
      </w:r>
    </w:p>
    <w:p w14:paraId="4FA3DA9C" w14:textId="77777777" w:rsidR="007F7204" w:rsidRDefault="007F7204" w:rsidP="007F7204">
      <w:pPr>
        <w:spacing w:after="0"/>
      </w:pPr>
    </w:p>
    <w:p w14:paraId="2BB38DAC" w14:textId="4A47BC7E" w:rsidR="00A31248" w:rsidRDefault="007F7204" w:rsidP="007F7204">
      <w:pPr>
        <w:pStyle w:val="ListParagraph"/>
        <w:numPr>
          <w:ilvl w:val="0"/>
          <w:numId w:val="10"/>
        </w:numPr>
        <w:spacing w:after="0" w:line="240" w:lineRule="auto"/>
        <w:contextualSpacing w:val="0"/>
        <w:rPr>
          <w:b/>
          <w:bCs/>
          <w:sz w:val="28"/>
          <w:szCs w:val="28"/>
        </w:rPr>
      </w:pPr>
      <w:r w:rsidRPr="007F7204">
        <w:rPr>
          <w:b/>
          <w:bCs/>
          <w:sz w:val="28"/>
          <w:szCs w:val="28"/>
        </w:rPr>
        <w:t>Expenses</w:t>
      </w:r>
      <w:r>
        <w:rPr>
          <w:b/>
          <w:bCs/>
          <w:sz w:val="28"/>
          <w:szCs w:val="28"/>
        </w:rPr>
        <w:t xml:space="preserve"> and r</w:t>
      </w:r>
      <w:r w:rsidR="003A7AE9">
        <w:rPr>
          <w:b/>
          <w:bCs/>
          <w:sz w:val="28"/>
          <w:szCs w:val="28"/>
        </w:rPr>
        <w:t>enumeration</w:t>
      </w:r>
    </w:p>
    <w:p w14:paraId="38101DC2" w14:textId="77777777" w:rsidR="003A7AE9" w:rsidRPr="004E1158" w:rsidRDefault="003A7AE9" w:rsidP="004E1158">
      <w:pPr>
        <w:spacing w:after="0"/>
      </w:pPr>
    </w:p>
    <w:p w14:paraId="31284B07" w14:textId="01C24537" w:rsidR="007F7204" w:rsidRDefault="007F7204" w:rsidP="007F7204">
      <w:pPr>
        <w:spacing w:after="0"/>
      </w:pPr>
      <w:r>
        <w:t>The trustees</w:t>
      </w:r>
      <w:r w:rsidR="0045602C">
        <w:t>, upon request,</w:t>
      </w:r>
      <w:r>
        <w:t xml:space="preserve"> may be paid all reasonable travelling, hotel and other expenses</w:t>
      </w:r>
      <w:r w:rsidR="003A7AE9">
        <w:t xml:space="preserve"> </w:t>
      </w:r>
      <w:r>
        <w:t>properly incurred by them in connection with their attendance at meetings of</w:t>
      </w:r>
      <w:r w:rsidR="003A7AE9">
        <w:t xml:space="preserve"> </w:t>
      </w:r>
      <w:r>
        <w:t>trustees or committees of trustees or general meetings or otherwise in connection</w:t>
      </w:r>
      <w:r w:rsidR="003A7AE9">
        <w:t xml:space="preserve"> </w:t>
      </w:r>
      <w:r>
        <w:t>with the discharge of their duties, but shall otherwise be paid no remuneration.</w:t>
      </w:r>
    </w:p>
    <w:p w14:paraId="7386872B" w14:textId="77777777" w:rsidR="003A7AE9" w:rsidRDefault="003A7AE9" w:rsidP="007F7204">
      <w:pPr>
        <w:spacing w:after="0"/>
      </w:pPr>
    </w:p>
    <w:p w14:paraId="56E7D4F4" w14:textId="5E30459B" w:rsidR="0045602C" w:rsidRDefault="00DC1653" w:rsidP="0045602C">
      <w:pPr>
        <w:pStyle w:val="ListParagraph"/>
        <w:numPr>
          <w:ilvl w:val="0"/>
          <w:numId w:val="10"/>
        </w:numPr>
        <w:spacing w:after="0" w:line="240" w:lineRule="auto"/>
        <w:contextualSpacing w:val="0"/>
        <w:rPr>
          <w:b/>
          <w:bCs/>
          <w:sz w:val="28"/>
          <w:szCs w:val="28"/>
        </w:rPr>
      </w:pPr>
      <w:r>
        <w:rPr>
          <w:b/>
          <w:bCs/>
          <w:sz w:val="28"/>
          <w:szCs w:val="28"/>
        </w:rPr>
        <w:t>Appointment and t</w:t>
      </w:r>
      <w:r w:rsidR="0045602C" w:rsidRPr="0045602C">
        <w:rPr>
          <w:b/>
          <w:bCs/>
          <w:sz w:val="28"/>
          <w:szCs w:val="28"/>
        </w:rPr>
        <w:t>erm of office</w:t>
      </w:r>
    </w:p>
    <w:p w14:paraId="370835AB" w14:textId="77777777" w:rsidR="0045602C" w:rsidRDefault="0045602C" w:rsidP="0045602C">
      <w:pPr>
        <w:spacing w:after="0" w:line="240" w:lineRule="auto"/>
        <w:rPr>
          <w:b/>
          <w:bCs/>
          <w:sz w:val="28"/>
          <w:szCs w:val="28"/>
        </w:rPr>
      </w:pPr>
    </w:p>
    <w:p w14:paraId="2F47239E" w14:textId="77777777" w:rsidR="00141428" w:rsidRDefault="0045602C" w:rsidP="0045602C">
      <w:pPr>
        <w:spacing w:after="0"/>
      </w:pPr>
      <w:r w:rsidRPr="0045602C">
        <w:t xml:space="preserve">Trustees </w:t>
      </w:r>
      <w:r w:rsidR="0083160F">
        <w:t xml:space="preserve">are usually appointed to the annual AGM by voting </w:t>
      </w:r>
      <w:r w:rsidR="00DC1653">
        <w:t xml:space="preserve">to approve the appointments. Trustees may be co-opted onto the Board at other times of the year </w:t>
      </w:r>
      <w:r w:rsidR="00141428">
        <w:t xml:space="preserve">with approval of the Board. </w:t>
      </w:r>
    </w:p>
    <w:p w14:paraId="239AE165" w14:textId="77777777" w:rsidR="00141428" w:rsidRDefault="00141428" w:rsidP="0045602C">
      <w:pPr>
        <w:spacing w:after="0"/>
      </w:pPr>
    </w:p>
    <w:p w14:paraId="486A0F04" w14:textId="1F172087" w:rsidR="0045602C" w:rsidRDefault="00141428" w:rsidP="0045602C">
      <w:pPr>
        <w:spacing w:after="0"/>
      </w:pPr>
      <w:r>
        <w:t>Trustees s</w:t>
      </w:r>
      <w:r w:rsidR="0045602C">
        <w:t xml:space="preserve">hall serve for a term of three years from appointment </w:t>
      </w:r>
      <w:r w:rsidR="00D44CDC">
        <w:t xml:space="preserve">unless terminated or they resign. Two </w:t>
      </w:r>
      <w:r w:rsidR="000A435E">
        <w:t xml:space="preserve">consecutive </w:t>
      </w:r>
      <w:r w:rsidR="00D44CDC">
        <w:t xml:space="preserve">terms of service may be </w:t>
      </w:r>
      <w:r w:rsidR="000A435E">
        <w:t xml:space="preserve">served. Any additional consecutive terms of service </w:t>
      </w:r>
      <w:r w:rsidR="00CD4139">
        <w:t xml:space="preserve">must be approved unanimously by the Board. </w:t>
      </w:r>
    </w:p>
    <w:p w14:paraId="1EDD915D" w14:textId="77777777" w:rsidR="00CD4139" w:rsidRPr="0045602C" w:rsidRDefault="00CD4139" w:rsidP="0045602C">
      <w:pPr>
        <w:spacing w:after="0"/>
      </w:pPr>
    </w:p>
    <w:p w14:paraId="3786CF01" w14:textId="35C1CD4A" w:rsidR="00E72517" w:rsidRDefault="00E72517" w:rsidP="00A31248">
      <w:pPr>
        <w:pStyle w:val="ListParagraph"/>
        <w:numPr>
          <w:ilvl w:val="0"/>
          <w:numId w:val="10"/>
        </w:numPr>
        <w:spacing w:after="0" w:line="240" w:lineRule="auto"/>
        <w:contextualSpacing w:val="0"/>
        <w:rPr>
          <w:b/>
          <w:bCs/>
          <w:sz w:val="28"/>
          <w:szCs w:val="28"/>
        </w:rPr>
      </w:pPr>
      <w:r w:rsidRPr="00A31248">
        <w:rPr>
          <w:b/>
          <w:bCs/>
          <w:sz w:val="28"/>
          <w:szCs w:val="28"/>
        </w:rPr>
        <w:t xml:space="preserve">Breach of the code </w:t>
      </w:r>
    </w:p>
    <w:p w14:paraId="06AEABD7" w14:textId="77777777" w:rsidR="00A31248" w:rsidRPr="004E1158" w:rsidRDefault="00A31248" w:rsidP="004E1158">
      <w:pPr>
        <w:spacing w:after="0"/>
      </w:pPr>
    </w:p>
    <w:p w14:paraId="49C01AC7" w14:textId="77777777" w:rsidR="00E72517" w:rsidRPr="0005415B" w:rsidRDefault="00E72517" w:rsidP="0005415B">
      <w:r w:rsidRPr="0005415B">
        <w:t xml:space="preserve">A reported breach or suspected breach of this code of conduct will result in an investigation being undertaken by the Chair, or their nominated representative. Serious breaches will result in termination of the Trustee’s appointment in accordance with the Articles of Association. </w:t>
      </w:r>
    </w:p>
    <w:p w14:paraId="36FD7617" w14:textId="4CD12DB0" w:rsidR="00D657BE" w:rsidRPr="0005415B" w:rsidRDefault="00E72517" w:rsidP="0005415B">
      <w:r w:rsidRPr="0005415B">
        <w:t xml:space="preserve">In the unlikely event of an unresolved dispute between a Trustee and the </w:t>
      </w:r>
      <w:r w:rsidR="007C0EE8">
        <w:t>organisation</w:t>
      </w:r>
      <w:r w:rsidRPr="0005415B">
        <w:t xml:space="preserve"> over the decision to terminate their appointment due to a breach of this code the </w:t>
      </w:r>
      <w:r w:rsidR="007C0EE8">
        <w:t>t</w:t>
      </w:r>
      <w:r w:rsidRPr="0005415B">
        <w:t xml:space="preserve">rustee may appeal by setting out in writing to the Chair the reasons for their appeal. The </w:t>
      </w:r>
      <w:r w:rsidR="0097373A">
        <w:t>organisation</w:t>
      </w:r>
      <w:r w:rsidRPr="0005415B">
        <w:t xml:space="preserve"> will utilise the services of an independent dispute resolution service for the appeal and the </w:t>
      </w:r>
      <w:r w:rsidR="0097373A">
        <w:t>t</w:t>
      </w:r>
      <w:r w:rsidRPr="0005415B">
        <w:t xml:space="preserve">rustee raising the </w:t>
      </w:r>
      <w:r w:rsidRPr="0005415B">
        <w:lastRenderedPageBreak/>
        <w:t xml:space="preserve">appeal may be required to contribute towards the cost of this. In the event of the appeal being found in favour of the </w:t>
      </w:r>
      <w:r w:rsidR="0097373A">
        <w:t>t</w:t>
      </w:r>
      <w:r w:rsidRPr="0005415B">
        <w:t>rustee, the financial contribution will be returned in full.</w:t>
      </w:r>
    </w:p>
    <w:p w14:paraId="236DC3D6" w14:textId="77777777" w:rsidR="008828F1" w:rsidRDefault="008828F1" w:rsidP="008828F1">
      <w:pPr>
        <w:pStyle w:val="Default"/>
        <w:jc w:val="center"/>
        <w:rPr>
          <w:rFonts w:ascii="Arial" w:hAnsi="Arial" w:cs="Arial"/>
          <w:color w:val="auto"/>
          <w:sz w:val="22"/>
          <w:szCs w:val="22"/>
        </w:rPr>
      </w:pPr>
    </w:p>
    <w:p w14:paraId="4ADECD95" w14:textId="5E8C9BCE" w:rsidR="00E85AEB" w:rsidRPr="00851211" w:rsidRDefault="00851211" w:rsidP="00851211">
      <w:r>
        <w:t>This document was</w:t>
      </w:r>
      <w:r w:rsidR="00E85AEB" w:rsidRPr="00851211">
        <w:t xml:space="preserve"> </w:t>
      </w:r>
      <w:r w:rsidR="009D7B40" w:rsidRPr="00851211">
        <w:t>approved by Board</w:t>
      </w:r>
      <w:r>
        <w:t xml:space="preserve"> on</w:t>
      </w:r>
      <w:r w:rsidR="00E85AEB" w:rsidRPr="00851211">
        <w:t xml:space="preserve"> </w:t>
      </w:r>
      <w:r w:rsidR="009D7B40" w:rsidRPr="00851211">
        <w:t>[</w:t>
      </w:r>
      <w:r w:rsidR="009D7B40" w:rsidRPr="00851211">
        <w:tab/>
        <w:t>] May</w:t>
      </w:r>
      <w:r w:rsidR="00E85AEB" w:rsidRPr="00851211">
        <w:t xml:space="preserve"> 2025</w:t>
      </w:r>
      <w:r>
        <w:t>. It is t</w:t>
      </w:r>
      <w:r w:rsidR="009D7B40" w:rsidRPr="00851211">
        <w:t xml:space="preserve">o be reviewed on a </w:t>
      </w:r>
      <w:r w:rsidRPr="00851211">
        <w:t>biannual basis.</w:t>
      </w:r>
    </w:p>
    <w:sectPr w:rsidR="00E85AEB" w:rsidRPr="0085121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C15F5" w14:textId="77777777" w:rsidR="00070D39" w:rsidRDefault="00070D39" w:rsidP="001E471B">
      <w:pPr>
        <w:spacing w:after="0" w:line="240" w:lineRule="auto"/>
      </w:pPr>
      <w:r>
        <w:separator/>
      </w:r>
    </w:p>
  </w:endnote>
  <w:endnote w:type="continuationSeparator" w:id="0">
    <w:p w14:paraId="1BD011D6" w14:textId="77777777" w:rsidR="00070D39" w:rsidRDefault="00070D39" w:rsidP="001E471B">
      <w:pPr>
        <w:spacing w:after="0" w:line="240" w:lineRule="auto"/>
      </w:pPr>
      <w:r>
        <w:continuationSeparator/>
      </w:r>
    </w:p>
  </w:endnote>
  <w:endnote w:type="continuationNotice" w:id="1">
    <w:p w14:paraId="4283D460" w14:textId="77777777" w:rsidR="00070D39" w:rsidRDefault="00070D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ADE6B" w14:textId="77777777" w:rsidR="00070D39" w:rsidRDefault="00070D39" w:rsidP="001E471B">
      <w:pPr>
        <w:spacing w:after="0" w:line="240" w:lineRule="auto"/>
      </w:pPr>
      <w:r>
        <w:separator/>
      </w:r>
    </w:p>
  </w:footnote>
  <w:footnote w:type="continuationSeparator" w:id="0">
    <w:p w14:paraId="4F4D2E04" w14:textId="77777777" w:rsidR="00070D39" w:rsidRDefault="00070D39" w:rsidP="001E471B">
      <w:pPr>
        <w:spacing w:after="0" w:line="240" w:lineRule="auto"/>
      </w:pPr>
      <w:r>
        <w:continuationSeparator/>
      </w:r>
    </w:p>
  </w:footnote>
  <w:footnote w:type="continuationNotice" w:id="1">
    <w:p w14:paraId="0098BD08" w14:textId="77777777" w:rsidR="00070D39" w:rsidRDefault="00070D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A68BF" w14:textId="3F0967B1" w:rsidR="00B6286D" w:rsidRDefault="001E471B" w:rsidP="001C3BEB">
    <w:pPr>
      <w:pStyle w:val="Default"/>
      <w:rPr>
        <w:b/>
        <w:bCs/>
        <w:sz w:val="28"/>
        <w:szCs w:val="28"/>
      </w:rPr>
    </w:pPr>
    <w:r>
      <w:rPr>
        <w:noProof/>
      </w:rPr>
      <w:drawing>
        <wp:inline distT="0" distB="0" distL="0" distR="0" wp14:anchorId="712F25FA" wp14:editId="5D4CD54C">
          <wp:extent cx="2577465" cy="859155"/>
          <wp:effectExtent l="0" t="0" r="0" b="0"/>
          <wp:docPr id="1604846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859155"/>
                  </a:xfrm>
                  <a:prstGeom prst="rect">
                    <a:avLst/>
                  </a:prstGeom>
                  <a:noFill/>
                </pic:spPr>
              </pic:pic>
            </a:graphicData>
          </a:graphic>
        </wp:inline>
      </w:drawing>
    </w:r>
    <w:r w:rsidR="001C3BEB">
      <w:rPr>
        <w:b/>
        <w:bCs/>
        <w:noProof/>
        <w:sz w:val="28"/>
        <w:szCs w:val="28"/>
      </w:rPr>
      <w:tab/>
    </w:r>
    <w:r w:rsidR="001C3BEB">
      <w:rPr>
        <w:b/>
        <w:bCs/>
        <w:noProof/>
        <w:sz w:val="28"/>
        <w:szCs w:val="28"/>
      </w:rPr>
      <w:tab/>
    </w:r>
    <w:r w:rsidR="00EA78FD">
      <w:rPr>
        <w:b/>
        <w:bCs/>
        <w:noProof/>
        <w:sz w:val="28"/>
        <w:szCs w:val="28"/>
      </w:rPr>
      <w:tab/>
    </w:r>
    <w:r w:rsidR="00EA78FD">
      <w:rPr>
        <w:b/>
        <w:bCs/>
        <w:noProof/>
        <w:sz w:val="28"/>
        <w:szCs w:val="28"/>
      </w:rPr>
      <w:tab/>
    </w:r>
    <w:r w:rsidR="00EA78FD">
      <w:rPr>
        <w:b/>
        <w:bCs/>
        <w:noProof/>
        <w:sz w:val="28"/>
        <w:szCs w:val="28"/>
      </w:rPr>
      <w:tab/>
    </w:r>
    <w:r w:rsidR="00B6286D" w:rsidRPr="004060AF">
      <w:rPr>
        <w:b/>
        <w:bCs/>
        <w:noProof/>
        <w:sz w:val="28"/>
        <w:szCs w:val="28"/>
      </w:rPr>
      <w:drawing>
        <wp:inline distT="0" distB="0" distL="0" distR="0" wp14:anchorId="084931F4" wp14:editId="0ED2B007">
          <wp:extent cx="944880" cy="944880"/>
          <wp:effectExtent l="0" t="0" r="7620" b="7620"/>
          <wp:docPr id="1196044549" name="Picture 2" descr="A blue circle with a hand gestur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06463" name="Picture 2" descr="A blue circle with a hand gesture and 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inline>
      </w:drawing>
    </w:r>
    <w:r w:rsidR="00B6286D" w:rsidRPr="00B6286D">
      <w:rPr>
        <w:b/>
        <w:bCs/>
        <w:sz w:val="28"/>
        <w:szCs w:val="28"/>
      </w:rPr>
      <w:t xml:space="preserve"> </w:t>
    </w:r>
  </w:p>
  <w:p w14:paraId="57EC48CF" w14:textId="246002AD" w:rsidR="001E471B" w:rsidRDefault="00B6286D" w:rsidP="007054B8">
    <w:pPr>
      <w:pStyle w:val="Default"/>
      <w:ind w:left="6480" w:firstLine="720"/>
      <w:rPr>
        <w:b/>
        <w:bCs/>
        <w:sz w:val="16"/>
        <w:szCs w:val="16"/>
      </w:rPr>
    </w:pPr>
    <w:r w:rsidRPr="001C3BEB">
      <w:rPr>
        <w:b/>
        <w:bCs/>
        <w:sz w:val="16"/>
        <w:szCs w:val="16"/>
      </w:rPr>
      <w:t>Thanks to National</w:t>
    </w:r>
    <w:r w:rsidR="007054B8">
      <w:rPr>
        <w:b/>
        <w:bCs/>
        <w:sz w:val="16"/>
        <w:szCs w:val="16"/>
      </w:rPr>
      <w:tab/>
      <w:t xml:space="preserve">   </w:t>
    </w:r>
    <w:r w:rsidRPr="001C3BEB">
      <w:rPr>
        <w:b/>
        <w:bCs/>
        <w:sz w:val="16"/>
        <w:szCs w:val="16"/>
      </w:rPr>
      <w:t>Lottery players</w:t>
    </w:r>
  </w:p>
  <w:p w14:paraId="61599B54" w14:textId="77777777" w:rsidR="007054B8" w:rsidRDefault="007054B8" w:rsidP="007054B8">
    <w:pPr>
      <w:pStyle w:val="Default"/>
      <w:ind w:left="6480"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66C7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2EA30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7FF8E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18425D"/>
    <w:multiLevelType w:val="hybridMultilevel"/>
    <w:tmpl w:val="5C1CF79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A12207"/>
    <w:multiLevelType w:val="hybridMultilevel"/>
    <w:tmpl w:val="D9B45C00"/>
    <w:lvl w:ilvl="0" w:tplc="BEEA9C8A">
      <w:numFmt w:val="bullet"/>
      <w:lvlText w:val="•"/>
      <w:lvlJc w:val="left"/>
      <w:pPr>
        <w:ind w:left="1080" w:hanging="72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E6DF1"/>
    <w:multiLevelType w:val="hybridMultilevel"/>
    <w:tmpl w:val="58A2C2E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AB4C7D"/>
    <w:multiLevelType w:val="hybridMultilevel"/>
    <w:tmpl w:val="96BAC9A2"/>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E376F2"/>
    <w:multiLevelType w:val="hybridMultilevel"/>
    <w:tmpl w:val="DC240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403BC2"/>
    <w:multiLevelType w:val="hybridMultilevel"/>
    <w:tmpl w:val="364EC7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A4DE3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69D2600"/>
    <w:multiLevelType w:val="hybridMultilevel"/>
    <w:tmpl w:val="8E9803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CB00D4"/>
    <w:multiLevelType w:val="hybridMultilevel"/>
    <w:tmpl w:val="F4BA04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5A94203B"/>
    <w:multiLevelType w:val="hybridMultilevel"/>
    <w:tmpl w:val="39749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F33037"/>
    <w:multiLevelType w:val="hybridMultilevel"/>
    <w:tmpl w:val="4C387B24"/>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51111604">
    <w:abstractNumId w:val="12"/>
  </w:num>
  <w:num w:numId="2" w16cid:durableId="1435132919">
    <w:abstractNumId w:val="10"/>
  </w:num>
  <w:num w:numId="3" w16cid:durableId="372270210">
    <w:abstractNumId w:val="3"/>
  </w:num>
  <w:num w:numId="4" w16cid:durableId="18360796">
    <w:abstractNumId w:val="5"/>
  </w:num>
  <w:num w:numId="5" w16cid:durableId="1888685381">
    <w:abstractNumId w:val="11"/>
  </w:num>
  <w:num w:numId="6" w16cid:durableId="656999037">
    <w:abstractNumId w:val="9"/>
  </w:num>
  <w:num w:numId="7" w16cid:durableId="473257338">
    <w:abstractNumId w:val="2"/>
  </w:num>
  <w:num w:numId="8" w16cid:durableId="217518981">
    <w:abstractNumId w:val="0"/>
  </w:num>
  <w:num w:numId="9" w16cid:durableId="760494936">
    <w:abstractNumId w:val="1"/>
  </w:num>
  <w:num w:numId="10" w16cid:durableId="1457678253">
    <w:abstractNumId w:val="8"/>
  </w:num>
  <w:num w:numId="11" w16cid:durableId="742600869">
    <w:abstractNumId w:val="4"/>
  </w:num>
  <w:num w:numId="12" w16cid:durableId="1973555418">
    <w:abstractNumId w:val="7"/>
  </w:num>
  <w:num w:numId="13" w16cid:durableId="206458703">
    <w:abstractNumId w:val="6"/>
  </w:num>
  <w:num w:numId="14" w16cid:durableId="17743251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6F"/>
    <w:rsid w:val="00007CF2"/>
    <w:rsid w:val="00021AEA"/>
    <w:rsid w:val="000246F1"/>
    <w:rsid w:val="00030034"/>
    <w:rsid w:val="00036A1D"/>
    <w:rsid w:val="000413EC"/>
    <w:rsid w:val="000533FC"/>
    <w:rsid w:val="0005415B"/>
    <w:rsid w:val="00054A88"/>
    <w:rsid w:val="00063282"/>
    <w:rsid w:val="00067510"/>
    <w:rsid w:val="00070D39"/>
    <w:rsid w:val="00072743"/>
    <w:rsid w:val="00072FF2"/>
    <w:rsid w:val="00084C5E"/>
    <w:rsid w:val="0009436B"/>
    <w:rsid w:val="000A435E"/>
    <w:rsid w:val="000A5E3A"/>
    <w:rsid w:val="000C473F"/>
    <w:rsid w:val="000E6CDA"/>
    <w:rsid w:val="000E7DD7"/>
    <w:rsid w:val="00102D3C"/>
    <w:rsid w:val="00104C72"/>
    <w:rsid w:val="00141428"/>
    <w:rsid w:val="001515E3"/>
    <w:rsid w:val="001874BB"/>
    <w:rsid w:val="0019639D"/>
    <w:rsid w:val="001A5CBE"/>
    <w:rsid w:val="001C2F1E"/>
    <w:rsid w:val="001C3BEB"/>
    <w:rsid w:val="001E471B"/>
    <w:rsid w:val="001E7C7F"/>
    <w:rsid w:val="001F2B19"/>
    <w:rsid w:val="001F3064"/>
    <w:rsid w:val="001F3B90"/>
    <w:rsid w:val="001F4B5C"/>
    <w:rsid w:val="001F596E"/>
    <w:rsid w:val="001F78E5"/>
    <w:rsid w:val="00203AD4"/>
    <w:rsid w:val="00206FB4"/>
    <w:rsid w:val="002079D0"/>
    <w:rsid w:val="00221A68"/>
    <w:rsid w:val="002368D0"/>
    <w:rsid w:val="002667E2"/>
    <w:rsid w:val="00285DB0"/>
    <w:rsid w:val="002A36F9"/>
    <w:rsid w:val="002A3873"/>
    <w:rsid w:val="002C44EA"/>
    <w:rsid w:val="002D6DA2"/>
    <w:rsid w:val="002E72A7"/>
    <w:rsid w:val="00300DD8"/>
    <w:rsid w:val="003038C0"/>
    <w:rsid w:val="00310AB0"/>
    <w:rsid w:val="003146F6"/>
    <w:rsid w:val="003207DF"/>
    <w:rsid w:val="00325685"/>
    <w:rsid w:val="0033134C"/>
    <w:rsid w:val="00334252"/>
    <w:rsid w:val="00343235"/>
    <w:rsid w:val="003470C4"/>
    <w:rsid w:val="00364791"/>
    <w:rsid w:val="0036515B"/>
    <w:rsid w:val="00365658"/>
    <w:rsid w:val="00373E1E"/>
    <w:rsid w:val="00377E56"/>
    <w:rsid w:val="003818FE"/>
    <w:rsid w:val="003841E1"/>
    <w:rsid w:val="00390176"/>
    <w:rsid w:val="0039431D"/>
    <w:rsid w:val="0039510E"/>
    <w:rsid w:val="0039698A"/>
    <w:rsid w:val="003A02F9"/>
    <w:rsid w:val="003A3E31"/>
    <w:rsid w:val="003A7AE9"/>
    <w:rsid w:val="003B1CB6"/>
    <w:rsid w:val="003B734F"/>
    <w:rsid w:val="003C25E1"/>
    <w:rsid w:val="003C3042"/>
    <w:rsid w:val="003C79F2"/>
    <w:rsid w:val="003F073D"/>
    <w:rsid w:val="003F52BC"/>
    <w:rsid w:val="004060AF"/>
    <w:rsid w:val="00431A99"/>
    <w:rsid w:val="004411C2"/>
    <w:rsid w:val="0044222C"/>
    <w:rsid w:val="00450B3F"/>
    <w:rsid w:val="00453514"/>
    <w:rsid w:val="0045602C"/>
    <w:rsid w:val="00471AF5"/>
    <w:rsid w:val="0048219B"/>
    <w:rsid w:val="004847C7"/>
    <w:rsid w:val="0049741D"/>
    <w:rsid w:val="004C44BC"/>
    <w:rsid w:val="004D5233"/>
    <w:rsid w:val="004E0336"/>
    <w:rsid w:val="004E1158"/>
    <w:rsid w:val="004E2285"/>
    <w:rsid w:val="00521DAF"/>
    <w:rsid w:val="005321C9"/>
    <w:rsid w:val="005351D8"/>
    <w:rsid w:val="00545A19"/>
    <w:rsid w:val="005476E6"/>
    <w:rsid w:val="005559B5"/>
    <w:rsid w:val="00556515"/>
    <w:rsid w:val="005610F9"/>
    <w:rsid w:val="00565A3D"/>
    <w:rsid w:val="0058025F"/>
    <w:rsid w:val="00581D9E"/>
    <w:rsid w:val="005B121B"/>
    <w:rsid w:val="005C366E"/>
    <w:rsid w:val="005E0D1A"/>
    <w:rsid w:val="005E0F8C"/>
    <w:rsid w:val="00603B17"/>
    <w:rsid w:val="00607F5C"/>
    <w:rsid w:val="00614ABF"/>
    <w:rsid w:val="00614E83"/>
    <w:rsid w:val="00642116"/>
    <w:rsid w:val="006474E4"/>
    <w:rsid w:val="00662491"/>
    <w:rsid w:val="00680A01"/>
    <w:rsid w:val="00692DB8"/>
    <w:rsid w:val="006A0A08"/>
    <w:rsid w:val="006A16A8"/>
    <w:rsid w:val="006D54BA"/>
    <w:rsid w:val="006E6D26"/>
    <w:rsid w:val="006F30AE"/>
    <w:rsid w:val="006F6FEE"/>
    <w:rsid w:val="007054B8"/>
    <w:rsid w:val="0070587B"/>
    <w:rsid w:val="00710C62"/>
    <w:rsid w:val="007149E2"/>
    <w:rsid w:val="007266CC"/>
    <w:rsid w:val="00751609"/>
    <w:rsid w:val="00753DFC"/>
    <w:rsid w:val="00754E6F"/>
    <w:rsid w:val="00780A5C"/>
    <w:rsid w:val="00787D47"/>
    <w:rsid w:val="007A2884"/>
    <w:rsid w:val="007A6098"/>
    <w:rsid w:val="007A6BED"/>
    <w:rsid w:val="007C0EE8"/>
    <w:rsid w:val="007C6623"/>
    <w:rsid w:val="007D6111"/>
    <w:rsid w:val="007F0B1B"/>
    <w:rsid w:val="007F27BE"/>
    <w:rsid w:val="007F7204"/>
    <w:rsid w:val="00812428"/>
    <w:rsid w:val="0081327B"/>
    <w:rsid w:val="00814270"/>
    <w:rsid w:val="0082262F"/>
    <w:rsid w:val="008237EB"/>
    <w:rsid w:val="0083160F"/>
    <w:rsid w:val="00834A5D"/>
    <w:rsid w:val="008435CB"/>
    <w:rsid w:val="00845FD1"/>
    <w:rsid w:val="00846198"/>
    <w:rsid w:val="00851211"/>
    <w:rsid w:val="00863031"/>
    <w:rsid w:val="008828F1"/>
    <w:rsid w:val="00887B9F"/>
    <w:rsid w:val="0089745F"/>
    <w:rsid w:val="00897CE0"/>
    <w:rsid w:val="008A3E47"/>
    <w:rsid w:val="008C3FCA"/>
    <w:rsid w:val="008C6A23"/>
    <w:rsid w:val="008D2699"/>
    <w:rsid w:val="008D6D39"/>
    <w:rsid w:val="00912BB1"/>
    <w:rsid w:val="00913214"/>
    <w:rsid w:val="00933B06"/>
    <w:rsid w:val="00943D99"/>
    <w:rsid w:val="00951211"/>
    <w:rsid w:val="009723F5"/>
    <w:rsid w:val="0097373A"/>
    <w:rsid w:val="009A6464"/>
    <w:rsid w:val="009B4DDF"/>
    <w:rsid w:val="009B79FC"/>
    <w:rsid w:val="009C1686"/>
    <w:rsid w:val="009D7B40"/>
    <w:rsid w:val="009E0F84"/>
    <w:rsid w:val="009E3B78"/>
    <w:rsid w:val="00A0481B"/>
    <w:rsid w:val="00A11421"/>
    <w:rsid w:val="00A153B3"/>
    <w:rsid w:val="00A15C3E"/>
    <w:rsid w:val="00A16DC1"/>
    <w:rsid w:val="00A256D5"/>
    <w:rsid w:val="00A31248"/>
    <w:rsid w:val="00A47EFE"/>
    <w:rsid w:val="00A52CF4"/>
    <w:rsid w:val="00A608A0"/>
    <w:rsid w:val="00A60A76"/>
    <w:rsid w:val="00A616F9"/>
    <w:rsid w:val="00A6420C"/>
    <w:rsid w:val="00A65B5F"/>
    <w:rsid w:val="00A71B7A"/>
    <w:rsid w:val="00A72136"/>
    <w:rsid w:val="00A76A6E"/>
    <w:rsid w:val="00A76FFF"/>
    <w:rsid w:val="00A8311D"/>
    <w:rsid w:val="00A8326A"/>
    <w:rsid w:val="00A97E38"/>
    <w:rsid w:val="00AD26AC"/>
    <w:rsid w:val="00AE51D4"/>
    <w:rsid w:val="00B03B19"/>
    <w:rsid w:val="00B07CE1"/>
    <w:rsid w:val="00B24D5D"/>
    <w:rsid w:val="00B37A39"/>
    <w:rsid w:val="00B46ADD"/>
    <w:rsid w:val="00B555C9"/>
    <w:rsid w:val="00B6286D"/>
    <w:rsid w:val="00B72E7A"/>
    <w:rsid w:val="00B81BB7"/>
    <w:rsid w:val="00B85922"/>
    <w:rsid w:val="00BA6477"/>
    <w:rsid w:val="00BC4EEB"/>
    <w:rsid w:val="00BD58AB"/>
    <w:rsid w:val="00BE1FFF"/>
    <w:rsid w:val="00BF5C96"/>
    <w:rsid w:val="00C01E47"/>
    <w:rsid w:val="00C13CC2"/>
    <w:rsid w:val="00C253FB"/>
    <w:rsid w:val="00C301E1"/>
    <w:rsid w:val="00C350A1"/>
    <w:rsid w:val="00C547E2"/>
    <w:rsid w:val="00C7234D"/>
    <w:rsid w:val="00C8576F"/>
    <w:rsid w:val="00C8788C"/>
    <w:rsid w:val="00C87BAD"/>
    <w:rsid w:val="00CC00DB"/>
    <w:rsid w:val="00CC0291"/>
    <w:rsid w:val="00CD4139"/>
    <w:rsid w:val="00CD5C8A"/>
    <w:rsid w:val="00CE5F15"/>
    <w:rsid w:val="00CE7FFB"/>
    <w:rsid w:val="00CF4096"/>
    <w:rsid w:val="00D12D55"/>
    <w:rsid w:val="00D328FB"/>
    <w:rsid w:val="00D3386F"/>
    <w:rsid w:val="00D35473"/>
    <w:rsid w:val="00D35A40"/>
    <w:rsid w:val="00D44CDC"/>
    <w:rsid w:val="00D45C11"/>
    <w:rsid w:val="00D45CDF"/>
    <w:rsid w:val="00D5190B"/>
    <w:rsid w:val="00D537E1"/>
    <w:rsid w:val="00D54BCF"/>
    <w:rsid w:val="00D55B1D"/>
    <w:rsid w:val="00D657BE"/>
    <w:rsid w:val="00D6627D"/>
    <w:rsid w:val="00D81ACB"/>
    <w:rsid w:val="00D81F7D"/>
    <w:rsid w:val="00D91539"/>
    <w:rsid w:val="00DB7D84"/>
    <w:rsid w:val="00DC1653"/>
    <w:rsid w:val="00DC57EB"/>
    <w:rsid w:val="00DD6B43"/>
    <w:rsid w:val="00E150F7"/>
    <w:rsid w:val="00E16FCA"/>
    <w:rsid w:val="00E210F5"/>
    <w:rsid w:val="00E22DA5"/>
    <w:rsid w:val="00E22E2E"/>
    <w:rsid w:val="00E30881"/>
    <w:rsid w:val="00E42A20"/>
    <w:rsid w:val="00E5030C"/>
    <w:rsid w:val="00E6353F"/>
    <w:rsid w:val="00E72517"/>
    <w:rsid w:val="00E844E1"/>
    <w:rsid w:val="00E84F11"/>
    <w:rsid w:val="00E85AEB"/>
    <w:rsid w:val="00E85E9E"/>
    <w:rsid w:val="00E9201A"/>
    <w:rsid w:val="00E92143"/>
    <w:rsid w:val="00EA78FD"/>
    <w:rsid w:val="00EC0536"/>
    <w:rsid w:val="00EC35FE"/>
    <w:rsid w:val="00EC70F5"/>
    <w:rsid w:val="00EF4F09"/>
    <w:rsid w:val="00F16AA1"/>
    <w:rsid w:val="00F23E25"/>
    <w:rsid w:val="00F33F36"/>
    <w:rsid w:val="00F5101A"/>
    <w:rsid w:val="00F521E4"/>
    <w:rsid w:val="00F57B4E"/>
    <w:rsid w:val="00F60059"/>
    <w:rsid w:val="00F63A3B"/>
    <w:rsid w:val="00F640E4"/>
    <w:rsid w:val="00FA5124"/>
    <w:rsid w:val="00FB50E8"/>
    <w:rsid w:val="00FD0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00638"/>
  <w15:chartTrackingRefBased/>
  <w15:docId w15:val="{C1119486-24BE-4064-AB74-0480BD8F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7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7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7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7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7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7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7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7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7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7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7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7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7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7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7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7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7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76F"/>
    <w:rPr>
      <w:rFonts w:eastAsiaTheme="majorEastAsia" w:cstheme="majorBidi"/>
      <w:color w:val="272727" w:themeColor="text1" w:themeTint="D8"/>
    </w:rPr>
  </w:style>
  <w:style w:type="paragraph" w:styleId="Title">
    <w:name w:val="Title"/>
    <w:basedOn w:val="Normal"/>
    <w:next w:val="Normal"/>
    <w:link w:val="TitleChar"/>
    <w:uiPriority w:val="10"/>
    <w:qFormat/>
    <w:rsid w:val="00C857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7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7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7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76F"/>
    <w:pPr>
      <w:spacing w:before="160"/>
      <w:jc w:val="center"/>
    </w:pPr>
    <w:rPr>
      <w:i/>
      <w:iCs/>
      <w:color w:val="404040" w:themeColor="text1" w:themeTint="BF"/>
    </w:rPr>
  </w:style>
  <w:style w:type="character" w:customStyle="1" w:styleId="QuoteChar">
    <w:name w:val="Quote Char"/>
    <w:basedOn w:val="DefaultParagraphFont"/>
    <w:link w:val="Quote"/>
    <w:uiPriority w:val="29"/>
    <w:rsid w:val="00C8576F"/>
    <w:rPr>
      <w:i/>
      <w:iCs/>
      <w:color w:val="404040" w:themeColor="text1" w:themeTint="BF"/>
    </w:rPr>
  </w:style>
  <w:style w:type="paragraph" w:styleId="ListParagraph">
    <w:name w:val="List Paragraph"/>
    <w:basedOn w:val="Normal"/>
    <w:qFormat/>
    <w:rsid w:val="00C8576F"/>
    <w:pPr>
      <w:ind w:left="720"/>
      <w:contextualSpacing/>
    </w:pPr>
  </w:style>
  <w:style w:type="character" w:styleId="IntenseEmphasis">
    <w:name w:val="Intense Emphasis"/>
    <w:basedOn w:val="DefaultParagraphFont"/>
    <w:uiPriority w:val="21"/>
    <w:qFormat/>
    <w:rsid w:val="00C8576F"/>
    <w:rPr>
      <w:i/>
      <w:iCs/>
      <w:color w:val="0F4761" w:themeColor="accent1" w:themeShade="BF"/>
    </w:rPr>
  </w:style>
  <w:style w:type="paragraph" w:styleId="IntenseQuote">
    <w:name w:val="Intense Quote"/>
    <w:basedOn w:val="Normal"/>
    <w:next w:val="Normal"/>
    <w:link w:val="IntenseQuoteChar"/>
    <w:uiPriority w:val="30"/>
    <w:qFormat/>
    <w:rsid w:val="00C857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76F"/>
    <w:rPr>
      <w:i/>
      <w:iCs/>
      <w:color w:val="0F4761" w:themeColor="accent1" w:themeShade="BF"/>
    </w:rPr>
  </w:style>
  <w:style w:type="character" w:styleId="IntenseReference">
    <w:name w:val="Intense Reference"/>
    <w:basedOn w:val="DefaultParagraphFont"/>
    <w:uiPriority w:val="32"/>
    <w:qFormat/>
    <w:rsid w:val="00C8576F"/>
    <w:rPr>
      <w:b/>
      <w:bCs/>
      <w:smallCaps/>
      <w:color w:val="0F4761" w:themeColor="accent1" w:themeShade="BF"/>
      <w:spacing w:val="5"/>
    </w:rPr>
  </w:style>
  <w:style w:type="paragraph" w:customStyle="1" w:styleId="Default">
    <w:name w:val="Default"/>
    <w:rsid w:val="00C8576F"/>
    <w:pPr>
      <w:autoSpaceDE w:val="0"/>
      <w:autoSpaceDN w:val="0"/>
      <w:adjustRightInd w:val="0"/>
      <w:spacing w:after="0" w:line="240" w:lineRule="auto"/>
    </w:pPr>
    <w:rPr>
      <w:rFonts w:ascii="Tahoma" w:hAnsi="Tahoma" w:cs="Tahoma"/>
      <w:color w:val="000000"/>
      <w:kern w:val="0"/>
      <w:sz w:val="24"/>
      <w:szCs w:val="24"/>
    </w:rPr>
  </w:style>
  <w:style w:type="paragraph" w:styleId="Header">
    <w:name w:val="header"/>
    <w:basedOn w:val="Normal"/>
    <w:link w:val="HeaderChar"/>
    <w:uiPriority w:val="99"/>
    <w:unhideWhenUsed/>
    <w:rsid w:val="001E47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71B"/>
  </w:style>
  <w:style w:type="paragraph" w:styleId="Footer">
    <w:name w:val="footer"/>
    <w:basedOn w:val="Normal"/>
    <w:link w:val="FooterChar"/>
    <w:uiPriority w:val="99"/>
    <w:unhideWhenUsed/>
    <w:rsid w:val="001E47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71B"/>
  </w:style>
  <w:style w:type="character" w:styleId="CommentReference">
    <w:name w:val="annotation reference"/>
    <w:basedOn w:val="DefaultParagraphFont"/>
    <w:uiPriority w:val="99"/>
    <w:semiHidden/>
    <w:unhideWhenUsed/>
    <w:rsid w:val="00CE5F15"/>
    <w:rPr>
      <w:sz w:val="16"/>
      <w:szCs w:val="16"/>
    </w:rPr>
  </w:style>
  <w:style w:type="paragraph" w:styleId="CommentText">
    <w:name w:val="annotation text"/>
    <w:basedOn w:val="Normal"/>
    <w:link w:val="CommentTextChar"/>
    <w:uiPriority w:val="99"/>
    <w:unhideWhenUsed/>
    <w:rsid w:val="00CE5F15"/>
    <w:pPr>
      <w:spacing w:line="240" w:lineRule="auto"/>
    </w:pPr>
    <w:rPr>
      <w:sz w:val="20"/>
      <w:szCs w:val="20"/>
    </w:rPr>
  </w:style>
  <w:style w:type="character" w:customStyle="1" w:styleId="CommentTextChar">
    <w:name w:val="Comment Text Char"/>
    <w:basedOn w:val="DefaultParagraphFont"/>
    <w:link w:val="CommentText"/>
    <w:uiPriority w:val="99"/>
    <w:rsid w:val="00CE5F15"/>
    <w:rPr>
      <w:sz w:val="20"/>
      <w:szCs w:val="20"/>
    </w:rPr>
  </w:style>
  <w:style w:type="paragraph" w:styleId="CommentSubject">
    <w:name w:val="annotation subject"/>
    <w:basedOn w:val="CommentText"/>
    <w:next w:val="CommentText"/>
    <w:link w:val="CommentSubjectChar"/>
    <w:uiPriority w:val="99"/>
    <w:semiHidden/>
    <w:unhideWhenUsed/>
    <w:rsid w:val="00CE5F15"/>
    <w:rPr>
      <w:b/>
      <w:bCs/>
    </w:rPr>
  </w:style>
  <w:style w:type="character" w:customStyle="1" w:styleId="CommentSubjectChar">
    <w:name w:val="Comment Subject Char"/>
    <w:basedOn w:val="CommentTextChar"/>
    <w:link w:val="CommentSubject"/>
    <w:uiPriority w:val="99"/>
    <w:semiHidden/>
    <w:rsid w:val="00CE5F15"/>
    <w:rPr>
      <w:b/>
      <w:bCs/>
      <w:sz w:val="20"/>
      <w:szCs w:val="20"/>
    </w:rPr>
  </w:style>
  <w:style w:type="character" w:styleId="Hyperlink">
    <w:name w:val="Hyperlink"/>
    <w:basedOn w:val="DefaultParagraphFont"/>
    <w:uiPriority w:val="99"/>
    <w:unhideWhenUsed/>
    <w:rsid w:val="00A72136"/>
    <w:rPr>
      <w:color w:val="467886" w:themeColor="hyperlink"/>
      <w:u w:val="single"/>
    </w:rPr>
  </w:style>
  <w:style w:type="character" w:styleId="UnresolvedMention">
    <w:name w:val="Unresolved Mention"/>
    <w:basedOn w:val="DefaultParagraphFont"/>
    <w:uiPriority w:val="99"/>
    <w:semiHidden/>
    <w:unhideWhenUsed/>
    <w:rsid w:val="00A72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712621">
      <w:bodyDiv w:val="1"/>
      <w:marLeft w:val="0"/>
      <w:marRight w:val="0"/>
      <w:marTop w:val="0"/>
      <w:marBottom w:val="0"/>
      <w:divBdr>
        <w:top w:val="none" w:sz="0" w:space="0" w:color="auto"/>
        <w:left w:val="none" w:sz="0" w:space="0" w:color="auto"/>
        <w:bottom w:val="none" w:sz="0" w:space="0" w:color="auto"/>
        <w:right w:val="none" w:sz="0" w:space="0" w:color="auto"/>
      </w:divBdr>
    </w:div>
    <w:div w:id="609162190">
      <w:bodyDiv w:val="1"/>
      <w:marLeft w:val="0"/>
      <w:marRight w:val="0"/>
      <w:marTop w:val="0"/>
      <w:marBottom w:val="0"/>
      <w:divBdr>
        <w:top w:val="none" w:sz="0" w:space="0" w:color="auto"/>
        <w:left w:val="none" w:sz="0" w:space="0" w:color="auto"/>
        <w:bottom w:val="none" w:sz="0" w:space="0" w:color="auto"/>
        <w:right w:val="none" w:sz="0" w:space="0" w:color="auto"/>
      </w:divBdr>
    </w:div>
    <w:div w:id="913592532">
      <w:bodyDiv w:val="1"/>
      <w:marLeft w:val="0"/>
      <w:marRight w:val="0"/>
      <w:marTop w:val="0"/>
      <w:marBottom w:val="0"/>
      <w:divBdr>
        <w:top w:val="none" w:sz="0" w:space="0" w:color="auto"/>
        <w:left w:val="none" w:sz="0" w:space="0" w:color="auto"/>
        <w:bottom w:val="none" w:sz="0" w:space="0" w:color="auto"/>
        <w:right w:val="none" w:sz="0" w:space="0" w:color="auto"/>
      </w:divBdr>
    </w:div>
    <w:div w:id="1271014411">
      <w:bodyDiv w:val="1"/>
      <w:marLeft w:val="0"/>
      <w:marRight w:val="0"/>
      <w:marTop w:val="0"/>
      <w:marBottom w:val="0"/>
      <w:divBdr>
        <w:top w:val="none" w:sz="0" w:space="0" w:color="auto"/>
        <w:left w:val="none" w:sz="0" w:space="0" w:color="auto"/>
        <w:bottom w:val="none" w:sz="0" w:space="0" w:color="auto"/>
        <w:right w:val="none" w:sz="0" w:space="0" w:color="auto"/>
      </w:divBdr>
    </w:div>
    <w:div w:id="1554006548">
      <w:bodyDiv w:val="1"/>
      <w:marLeft w:val="0"/>
      <w:marRight w:val="0"/>
      <w:marTop w:val="0"/>
      <w:marBottom w:val="0"/>
      <w:divBdr>
        <w:top w:val="none" w:sz="0" w:space="0" w:color="auto"/>
        <w:left w:val="none" w:sz="0" w:space="0" w:color="auto"/>
        <w:bottom w:val="none" w:sz="0" w:space="0" w:color="auto"/>
        <w:right w:val="none" w:sz="0" w:space="0" w:color="auto"/>
      </w:divBdr>
    </w:div>
    <w:div w:id="1829781612">
      <w:bodyDiv w:val="1"/>
      <w:marLeft w:val="0"/>
      <w:marRight w:val="0"/>
      <w:marTop w:val="0"/>
      <w:marBottom w:val="0"/>
      <w:divBdr>
        <w:top w:val="none" w:sz="0" w:space="0" w:color="auto"/>
        <w:left w:val="none" w:sz="0" w:space="0" w:color="auto"/>
        <w:bottom w:val="none" w:sz="0" w:space="0" w:color="auto"/>
        <w:right w:val="none" w:sz="0" w:space="0" w:color="auto"/>
      </w:divBdr>
    </w:div>
    <w:div w:id="209932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the-essential-trustee-what-you-need-to-know-cc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the-7-principles-of-public-lif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9d447f-340d-48f9-aed9-c81abca2f376" xsi:nil="true"/>
    <lcf76f155ced4ddcb4097134ff3c332f xmlns="f6418a7c-3476-48ef-a7b3-42fb0c7d326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2465BE247BB94D8DAE3515238D310F" ma:contentTypeVersion="12" ma:contentTypeDescription="Create a new document." ma:contentTypeScope="" ma:versionID="e2f1f7af8b5cda64f9533234677b9714">
  <xsd:schema xmlns:xsd="http://www.w3.org/2001/XMLSchema" xmlns:xs="http://www.w3.org/2001/XMLSchema" xmlns:p="http://schemas.microsoft.com/office/2006/metadata/properties" xmlns:ns2="f6418a7c-3476-48ef-a7b3-42fb0c7d326b" xmlns:ns3="a99d447f-340d-48f9-aed9-c81abca2f376" targetNamespace="http://schemas.microsoft.com/office/2006/metadata/properties" ma:root="true" ma:fieldsID="a1190f49a880dbf0efba50107b2dd720" ns2:_="" ns3:_="">
    <xsd:import namespace="f6418a7c-3476-48ef-a7b3-42fb0c7d326b"/>
    <xsd:import namespace="a99d447f-340d-48f9-aed9-c81abca2f3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18a7c-3476-48ef-a7b3-42fb0c7d3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5d82a9-5ff9-4f5f-9852-739dd4cb89b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9d447f-340d-48f9-aed9-c81abca2f3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1459887-63c0-4d80-9c15-d67c5e12c914}" ma:internalName="TaxCatchAll" ma:showField="CatchAllData" ma:web="a99d447f-340d-48f9-aed9-c81abca2f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E0012-CA2E-41BB-8437-240619DC7B96}">
  <ds:schemaRefs>
    <ds:schemaRef ds:uri="http://schemas.microsoft.com/sharepoint/v3/contenttype/forms"/>
  </ds:schemaRefs>
</ds:datastoreItem>
</file>

<file path=customXml/itemProps2.xml><?xml version="1.0" encoding="utf-8"?>
<ds:datastoreItem xmlns:ds="http://schemas.openxmlformats.org/officeDocument/2006/customXml" ds:itemID="{AC490CAC-E68F-4BA8-AE04-BBFBF7922C40}">
  <ds:schemaRefs>
    <ds:schemaRef ds:uri="http://schemas.microsoft.com/office/2006/metadata/properties"/>
    <ds:schemaRef ds:uri="http://schemas.microsoft.com/office/infopath/2007/PartnerControls"/>
    <ds:schemaRef ds:uri="a99d447f-340d-48f9-aed9-c81abca2f376"/>
    <ds:schemaRef ds:uri="f6418a7c-3476-48ef-a7b3-42fb0c7d326b"/>
  </ds:schemaRefs>
</ds:datastoreItem>
</file>

<file path=customXml/itemProps3.xml><?xml version="1.0" encoding="utf-8"?>
<ds:datastoreItem xmlns:ds="http://schemas.openxmlformats.org/officeDocument/2006/customXml" ds:itemID="{ACA3F3AB-E340-44A2-9214-11E1767B5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18a7c-3476-48ef-a7b3-42fb0c7d326b"/>
    <ds:schemaRef ds:uri="a99d447f-340d-48f9-aed9-c81abca2f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1987</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Guy</dc:creator>
  <cp:keywords/>
  <dc:description/>
  <cp:lastModifiedBy>Lytham Hall</cp:lastModifiedBy>
  <cp:revision>2</cp:revision>
  <dcterms:created xsi:type="dcterms:W3CDTF">2025-05-15T13:40:00Z</dcterms:created>
  <dcterms:modified xsi:type="dcterms:W3CDTF">2025-05-15T13:40:00Z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0x010100A62465BE247BB94D8DAE3515238D310F</vt:lpwstr>
  </property>
  <property fmtid="{D5CDD505-2E9C-101B-9397-08002B2CF9AE}" pid="3" name="MediaServiceImageTags">
    <vt:lpwstr/>
  </property>
</Properties>
</file>